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95F5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5F5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5F51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95F5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95F51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95F51">
        <w:rPr>
          <w:rFonts w:ascii="Arial" w:hAnsi="Arial" w:cs="Arial"/>
          <w:sz w:val="20"/>
          <w:szCs w:val="20"/>
        </w:rPr>
        <w:t>Será considerado Ponto Facultativo, o dia 14 de fevereiro de 1956, em comemoração as festas carnavalescas, nas repartições municipais</w:t>
      </w:r>
      <w:r w:rsidR="0093167E">
        <w:rPr>
          <w:rFonts w:ascii="Arial" w:hAnsi="Arial" w:cs="Arial"/>
          <w:sz w:val="20"/>
          <w:szCs w:val="20"/>
        </w:rPr>
        <w:t xml:space="preserve">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95F5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795F51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95F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795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95F51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6BD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95F51"/>
    <w:rsid w:val="007E7FF7"/>
    <w:rsid w:val="008149E0"/>
    <w:rsid w:val="008349FD"/>
    <w:rsid w:val="009243B3"/>
    <w:rsid w:val="0093167E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424B8"/>
    <w:rsid w:val="00DB203D"/>
    <w:rsid w:val="00DE0759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2019-02-25T18:55:00Z</dcterms:created>
  <dcterms:modified xsi:type="dcterms:W3CDTF">2019-02-25T18:59:00Z</dcterms:modified>
</cp:coreProperties>
</file>