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A4045">
        <w:rPr>
          <w:rFonts w:ascii="Arial" w:hAnsi="Arial" w:cs="Arial"/>
          <w:b/>
          <w:sz w:val="20"/>
          <w:szCs w:val="20"/>
        </w:rPr>
        <w:t>0</w:t>
      </w:r>
      <w:r w:rsidR="00DE19A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19AF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404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19AF">
        <w:rPr>
          <w:rFonts w:ascii="Arial" w:hAnsi="Arial" w:cs="Arial"/>
          <w:sz w:val="20"/>
          <w:szCs w:val="20"/>
        </w:rPr>
        <w:t>É considerado “Ponto Facultativo”, no Município, o dia 29 de março, quinta-feira da Paixão, santificado pela Igreja</w:t>
      </w:r>
      <w:bookmarkStart w:id="0" w:name="_GoBack"/>
      <w:bookmarkEnd w:id="0"/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E19AF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3A404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A4045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9243B3"/>
    <w:rsid w:val="009426A8"/>
    <w:rsid w:val="00A0243E"/>
    <w:rsid w:val="00A05D11"/>
    <w:rsid w:val="00A56A4B"/>
    <w:rsid w:val="00AA1032"/>
    <w:rsid w:val="00AF0809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2556B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2019-02-26T11:39:00Z</dcterms:created>
  <dcterms:modified xsi:type="dcterms:W3CDTF">2019-02-26T11:41:00Z</dcterms:modified>
</cp:coreProperties>
</file>