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A7137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137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CD4D89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71374">
        <w:rPr>
          <w:rFonts w:ascii="Arial" w:hAnsi="Arial" w:cs="Arial"/>
          <w:sz w:val="20"/>
          <w:szCs w:val="20"/>
        </w:rPr>
        <w:t>Tornam-se sem efeito as Portarias nº 30-A e 31/57, respectivamente de 20 e 22 de março de 1957.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7137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04C9"/>
    <w:rsid w:val="008046BA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43C3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2019-02-26T18:54:00Z</dcterms:created>
  <dcterms:modified xsi:type="dcterms:W3CDTF">2019-02-26T18:55:00Z</dcterms:modified>
</cp:coreProperties>
</file>