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15794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52AC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NO USO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5794F">
        <w:rPr>
          <w:rFonts w:ascii="Arial" w:hAnsi="Arial" w:cs="Arial"/>
          <w:sz w:val="20"/>
          <w:szCs w:val="20"/>
        </w:rPr>
        <w:t>Ficam suplementadas as verbas de vencimentos do contador, tesoureiro e lançador, codificados sob nº Local 1.20.1 e geral 8.07.1.1.20.1 e 8.13.1.1.20.1 e 8.09.1, respectivamente, com as importâncias de Cr$ 28.000,00, Cr$ 12.000,00 e Cr$ 3.000,00.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52AC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5794F">
        <w:rPr>
          <w:rFonts w:ascii="Arial" w:hAnsi="Arial" w:cs="Arial"/>
          <w:sz w:val="20"/>
          <w:szCs w:val="20"/>
        </w:rPr>
        <w:t xml:space="preserve">As despesas decorrentes do presente Decreto, correrão por conta do crédito especial, aberto pela Lei Municipal nº </w:t>
      </w:r>
      <w:r w:rsidR="001752AC">
        <w:rPr>
          <w:rFonts w:ascii="Arial" w:hAnsi="Arial" w:cs="Arial"/>
          <w:sz w:val="20"/>
          <w:szCs w:val="20"/>
        </w:rPr>
        <w:t>121/57.</w:t>
      </w:r>
    </w:p>
    <w:p w:rsidR="001752AC" w:rsidRDefault="001752A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1752A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2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01C88">
        <w:rPr>
          <w:rFonts w:ascii="Arial" w:hAnsi="Arial" w:cs="Arial"/>
          <w:sz w:val="20"/>
          <w:szCs w:val="20"/>
        </w:rPr>
        <w:t>entra</w:t>
      </w:r>
      <w:r>
        <w:rPr>
          <w:rFonts w:ascii="Arial" w:hAnsi="Arial" w:cs="Arial"/>
          <w:sz w:val="20"/>
          <w:szCs w:val="20"/>
        </w:rPr>
        <w:t>rá</w:t>
      </w:r>
      <w:r w:rsidR="00401C88">
        <w:rPr>
          <w:rFonts w:ascii="Arial" w:hAnsi="Arial" w:cs="Arial"/>
          <w:sz w:val="20"/>
          <w:szCs w:val="20"/>
        </w:rPr>
        <w:t xml:space="preserve"> em vigor na data de sua publicação,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1752A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0D3834"/>
    <w:rsid w:val="00112D69"/>
    <w:rsid w:val="00137CBC"/>
    <w:rsid w:val="0015794F"/>
    <w:rsid w:val="001752A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2019-02-27T12:15:00Z</dcterms:created>
  <dcterms:modified xsi:type="dcterms:W3CDTF">2019-02-27T12:20:00Z</dcterms:modified>
</cp:coreProperties>
</file>