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183F4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3F48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F48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70275" w:rsidRDefault="00183F48" w:rsidP="000702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terreno</w:t>
      </w:r>
      <w:r w:rsidR="00070275">
        <w:rPr>
          <w:rFonts w:ascii="Arial" w:hAnsi="Arial" w:cs="Arial"/>
          <w:sz w:val="20"/>
          <w:szCs w:val="20"/>
        </w:rPr>
        <w:t>.</w:t>
      </w:r>
    </w:p>
    <w:p w:rsidR="00070275" w:rsidRDefault="00070275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3F48" w:rsidRP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DA ATRIBUIÇÃO QUE LHE CONFERE O ART. 6º, DO DECRETO-LEI FEDERAL Nº 3.365, DE 21 DE JULHO DE 1941.</w:t>
      </w: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3F48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>Fica declarada de utilidade pública, afim de ser adquirida pela Prefeitura mediante desapropriação judicial ou por via amigável, a área de terreno abaixo caracterizada, situada neste Município, à Av. D. Pedro II, pertencente a Joaquim Braz Pereira, a saber:</w:t>
      </w:r>
    </w:p>
    <w:p w:rsidR="00183F48" w:rsidRDefault="00183F48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0FB" w:rsidRDefault="00183F48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Lotes 1 e 13 da quadra 49, com área de 839,55m², confrontando pela frente com a Av. D. Pedro II, de um lado com a Praça Lauro Muller, de outro com a Sociedade Amigo</w:t>
      </w:r>
      <w:r w:rsidR="00257A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Ferraz de Vasconcelos, fazendo fundos, com uma faixa de terra da Praça Lauro Muller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7AC3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57AC3">
        <w:rPr>
          <w:rFonts w:ascii="Arial" w:hAnsi="Arial" w:cs="Arial"/>
          <w:sz w:val="20"/>
          <w:szCs w:val="20"/>
        </w:rPr>
        <w:t>Havendo concordância quanto ao preço e a forma de pagamento, far-se-á a expropriação por acordo uma vez satisfeita os seguintes requisitos:</w:t>
      </w:r>
    </w:p>
    <w:p w:rsidR="00257AC3" w:rsidRDefault="00257AC3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7AC3" w:rsidRDefault="00257AC3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00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que o preço não ultrapasse o valor fixado no Laudo de Avaliação;</w:t>
      </w:r>
    </w:p>
    <w:p w:rsidR="00257AC3" w:rsidRDefault="00257AC3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00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que os proprietários ofereçam títulos de domínio com filiação trintenária e certidões negativas de quaisquer ônus que recaiam sobre os bens expropriados. </w:t>
      </w:r>
    </w:p>
    <w:p w:rsidR="00257AC3" w:rsidRDefault="00257AC3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4D500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00C">
        <w:rPr>
          <w:rFonts w:ascii="Arial" w:hAnsi="Arial" w:cs="Arial"/>
          <w:b/>
          <w:sz w:val="20"/>
          <w:szCs w:val="20"/>
        </w:rPr>
        <w:t>Art. 3º</w:t>
      </w:r>
      <w:r w:rsidR="007B182B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Este decreto entra em vigor na data de sua publicação, r</w:t>
      </w:r>
      <w:r w:rsidR="00401C88" w:rsidRPr="00257AC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0D3834" w:rsidRPr="00257AC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4D500C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83F48"/>
    <w:rsid w:val="001B7F16"/>
    <w:rsid w:val="001D049D"/>
    <w:rsid w:val="001E2A5B"/>
    <w:rsid w:val="001F1C31"/>
    <w:rsid w:val="00226B4A"/>
    <w:rsid w:val="00233AB9"/>
    <w:rsid w:val="00257AC3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B182B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2019-02-27T16:27:00Z</dcterms:created>
  <dcterms:modified xsi:type="dcterms:W3CDTF">2019-04-05T14:34:00Z</dcterms:modified>
</cp:coreProperties>
</file>