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494C">
        <w:rPr>
          <w:rFonts w:ascii="Arial" w:hAnsi="Arial" w:cs="Arial"/>
          <w:b/>
          <w:sz w:val="20"/>
          <w:szCs w:val="20"/>
        </w:rPr>
        <w:t>1</w:t>
      </w:r>
      <w:r w:rsidR="00AE364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1015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E364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 do Decreto nº 750/66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</w:t>
      </w:r>
      <w:bookmarkStart w:id="0" w:name="_GoBack"/>
      <w:bookmarkEnd w:id="0"/>
      <w:r w:rsidR="00AE3648">
        <w:rPr>
          <w:rFonts w:ascii="Arial" w:hAnsi="Arial" w:cs="Arial"/>
          <w:b/>
          <w:sz w:val="20"/>
          <w:szCs w:val="20"/>
        </w:rPr>
        <w:t>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648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AE3648">
        <w:rPr>
          <w:rFonts w:ascii="Arial" w:hAnsi="Arial" w:cs="Arial"/>
          <w:sz w:val="20"/>
          <w:szCs w:val="20"/>
        </w:rPr>
        <w:t>O Artigo 3º do Decreto nº 750/66, de 30 de dezembro de 1966, passa a vigorar com a seguinte redação:</w:t>
      </w:r>
    </w:p>
    <w:p w:rsidR="00AE3648" w:rsidRDefault="00AE3648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689" w:rsidRDefault="00AE3648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“Em se tratando do loteamento licenciado pela Prefeitura Municipal, o lançamento do Imposto será feito por lote”</w:t>
      </w:r>
      <w:r w:rsidR="007F2868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A494C">
        <w:rPr>
          <w:rFonts w:ascii="Arial" w:hAnsi="Arial" w:cs="Arial"/>
          <w:sz w:val="20"/>
          <w:szCs w:val="20"/>
        </w:rPr>
        <w:t>1</w:t>
      </w:r>
      <w:r w:rsidR="00AE3648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72BA3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2019-03-22T15:04:00Z</dcterms:created>
  <dcterms:modified xsi:type="dcterms:W3CDTF">2019-03-22T15:06:00Z</dcterms:modified>
</cp:coreProperties>
</file>