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84BAF">
        <w:rPr>
          <w:rFonts w:ascii="Arial" w:hAnsi="Arial" w:cs="Arial"/>
          <w:b/>
          <w:sz w:val="20"/>
          <w:szCs w:val="20"/>
        </w:rPr>
        <w:t>816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84BAF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Suspende concessões de isenções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D433EA">
        <w:rPr>
          <w:rFonts w:ascii="Arial" w:hAnsi="Arial" w:cs="Arial"/>
          <w:sz w:val="20"/>
          <w:szCs w:val="20"/>
        </w:rPr>
        <w:t>De acordo com a Lei nº 5.</w:t>
      </w:r>
      <w:r w:rsidR="00B84BAF">
        <w:rPr>
          <w:rFonts w:ascii="Arial" w:hAnsi="Arial" w:cs="Arial"/>
          <w:sz w:val="20"/>
          <w:szCs w:val="20"/>
        </w:rPr>
        <w:t>172, artigos 176 e 179, de 25 de outubro de 1966 e pela nova Lei Orgânica dos Municípios, artigo 4º, incisos 1 e 2, ficam suspensas todas as concessões</w:t>
      </w:r>
      <w:r w:rsidR="00D433EA">
        <w:rPr>
          <w:rFonts w:ascii="Arial" w:hAnsi="Arial" w:cs="Arial"/>
          <w:sz w:val="20"/>
          <w:szCs w:val="20"/>
        </w:rPr>
        <w:t xml:space="preserve"> de isenções referentes a impostos, taxas, emolumentos e contribuições de melhoria, excetos as concedidas pela Constituição Federal, até o pronunciamento da Câmara Municipal, com referência a mensagem nº 38/67 de 20 de dezembro de 1967</w:t>
      </w:r>
      <w:r w:rsidR="002D6305">
        <w:rPr>
          <w:rFonts w:ascii="Arial" w:hAnsi="Arial" w:cs="Arial"/>
          <w:sz w:val="20"/>
          <w:szCs w:val="20"/>
        </w:rPr>
        <w:t>.</w:t>
      </w:r>
    </w:p>
    <w:p w:rsidR="002D6305" w:rsidRDefault="002D6305" w:rsidP="0008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2019-03-26T12:51:00Z</dcterms:created>
  <dcterms:modified xsi:type="dcterms:W3CDTF">2019-03-26T12:57:00Z</dcterms:modified>
</cp:coreProperties>
</file>