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00B">
        <w:rPr>
          <w:rFonts w:ascii="Arial" w:hAnsi="Arial" w:cs="Arial"/>
          <w:b/>
          <w:sz w:val="20"/>
          <w:szCs w:val="20"/>
        </w:rPr>
        <w:t>866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200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2F75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4200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cancelamento do Regime de Tempo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C6F" w:rsidRDefault="0085478B" w:rsidP="00E7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E7071F">
        <w:rPr>
          <w:rFonts w:ascii="Arial" w:hAnsi="Arial" w:cs="Arial"/>
          <w:sz w:val="20"/>
          <w:szCs w:val="20"/>
        </w:rPr>
        <w:t>Fica cancelado o Regime de Tempo Integral, que vinha sendo aplicado e atribuído aos cargos de Tesoureiro, 2º Lançador, 1º, 2º e 4º Escriturários, devendo vigorar tal cancelamento a partir de 1º de abril de 1968.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E7071F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85478B">
        <w:rPr>
          <w:rFonts w:ascii="Arial" w:hAnsi="Arial" w:cs="Arial"/>
          <w:b/>
          <w:sz w:val="20"/>
          <w:szCs w:val="20"/>
        </w:rPr>
        <w:t xml:space="preserve">º </w:t>
      </w:r>
      <w:r w:rsidRPr="00E7071F">
        <w:rPr>
          <w:rFonts w:ascii="Arial" w:hAnsi="Arial" w:cs="Arial"/>
          <w:sz w:val="20"/>
          <w:szCs w:val="20"/>
        </w:rPr>
        <w:t>R</w:t>
      </w:r>
      <w:r w:rsidR="003802E7" w:rsidRPr="00E7071F">
        <w:rPr>
          <w:rFonts w:ascii="Arial" w:hAnsi="Arial" w:cs="Arial"/>
          <w:sz w:val="20"/>
          <w:szCs w:val="20"/>
        </w:rPr>
        <w:t>evog</w:t>
      </w:r>
      <w:r w:rsidR="003802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m-se</w:t>
      </w:r>
      <w:r w:rsidR="003802E7">
        <w:rPr>
          <w:rFonts w:ascii="Arial" w:hAnsi="Arial" w:cs="Arial"/>
          <w:sz w:val="20"/>
          <w:szCs w:val="20"/>
        </w:rPr>
        <w:t xml:space="preserve">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F4200B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12F75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071F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00B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2019-03-27T18:12:00Z</dcterms:created>
  <dcterms:modified xsi:type="dcterms:W3CDTF">2019-03-27T18:16:00Z</dcterms:modified>
</cp:coreProperties>
</file>