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912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726F">
        <w:rPr>
          <w:rFonts w:ascii="Arial" w:hAnsi="Arial" w:cs="Arial"/>
          <w:b/>
          <w:sz w:val="20"/>
          <w:szCs w:val="20"/>
        </w:rPr>
        <w:t>24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01910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3E726F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Verbas Constantes</w:t>
      </w:r>
      <w:r w:rsidR="00AB53AC">
        <w:rPr>
          <w:rFonts w:ascii="Arial" w:hAnsi="Arial" w:cs="Arial"/>
          <w:sz w:val="20"/>
          <w:szCs w:val="20"/>
        </w:rPr>
        <w:t xml:space="preserve"> do Orçamento V</w:t>
      </w:r>
      <w:r w:rsidR="00C93EA9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3E726F">
        <w:rPr>
          <w:rFonts w:ascii="Arial" w:hAnsi="Arial" w:cs="Arial"/>
          <w:sz w:val="20"/>
          <w:szCs w:val="20"/>
        </w:rPr>
        <w:t>3.0</w:t>
      </w:r>
      <w:r w:rsidR="006B24E3">
        <w:rPr>
          <w:rFonts w:ascii="Arial" w:hAnsi="Arial" w:cs="Arial"/>
          <w:sz w:val="20"/>
          <w:szCs w:val="20"/>
        </w:rPr>
        <w:t>00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3E726F">
        <w:rPr>
          <w:rFonts w:ascii="Arial" w:hAnsi="Arial" w:cs="Arial"/>
          <w:sz w:val="20"/>
          <w:szCs w:val="20"/>
        </w:rPr>
        <w:t>três mil</w:t>
      </w:r>
      <w:r w:rsidR="00BA59EC">
        <w:rPr>
          <w:rFonts w:ascii="Arial" w:hAnsi="Arial" w:cs="Arial"/>
          <w:sz w:val="20"/>
          <w:szCs w:val="20"/>
        </w:rPr>
        <w:t xml:space="preserve"> 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056"/>
        <w:gridCol w:w="1340"/>
      </w:tblGrid>
      <w:tr w:rsidR="0047674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4E14DE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4D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4E14DE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4DE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4E14DE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4DE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4E14DE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4E14DE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BA59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3E726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3E726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4.0.0.0.93</w:t>
            </w:r>
          </w:p>
        </w:tc>
        <w:tc>
          <w:tcPr>
            <w:tcW w:w="0" w:type="auto"/>
          </w:tcPr>
          <w:p w:rsidR="00476743" w:rsidRDefault="00476743" w:rsidP="003E7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3E726F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3E726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4.1.0.0.93</w:t>
            </w:r>
          </w:p>
        </w:tc>
        <w:tc>
          <w:tcPr>
            <w:tcW w:w="0" w:type="auto"/>
          </w:tcPr>
          <w:p w:rsidR="00476743" w:rsidRDefault="003E726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3E726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B24E3">
              <w:rPr>
                <w:rFonts w:ascii="Arial" w:hAnsi="Arial" w:cs="Arial"/>
                <w:sz w:val="20"/>
                <w:szCs w:val="20"/>
              </w:rPr>
              <w:t>.1.3</w:t>
            </w:r>
            <w:r>
              <w:rPr>
                <w:rFonts w:ascii="Arial" w:hAnsi="Arial" w:cs="Arial"/>
                <w:sz w:val="20"/>
                <w:szCs w:val="20"/>
              </w:rPr>
              <w:t>.0.93</w:t>
            </w:r>
          </w:p>
        </w:tc>
        <w:tc>
          <w:tcPr>
            <w:tcW w:w="0" w:type="auto"/>
          </w:tcPr>
          <w:p w:rsidR="00476743" w:rsidRDefault="003E726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3E7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E726F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E726F">
              <w:rPr>
                <w:rFonts w:ascii="Arial" w:hAnsi="Arial" w:cs="Arial"/>
                <w:sz w:val="20"/>
                <w:szCs w:val="20"/>
              </w:rPr>
              <w:t>Aquisição de lâmpadas de mercúrio e acessórios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3E726F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76743" w:rsidRDefault="003E726F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 xml:space="preserve">tação de que trata o artigo 1º </w:t>
      </w:r>
      <w:r w:rsidR="00BA59EC">
        <w:rPr>
          <w:rFonts w:ascii="Arial" w:hAnsi="Arial" w:cs="Arial"/>
          <w:sz w:val="20"/>
          <w:szCs w:val="20"/>
        </w:rPr>
        <w:t xml:space="preserve">deste Decreto,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  <w:bookmarkStart w:id="0" w:name="_GoBack"/>
      <w:bookmarkEnd w:id="0"/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690"/>
        <w:gridCol w:w="1340"/>
      </w:tblGrid>
      <w:tr w:rsidR="00C9214D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4E14DE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4D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4E14DE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4DE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4E14DE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4DE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4E14DE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4E14DE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E726F" w:rsidTr="00C9214D">
        <w:trPr>
          <w:jc w:val="center"/>
        </w:trPr>
        <w:tc>
          <w:tcPr>
            <w:tcW w:w="0" w:type="auto"/>
          </w:tcPr>
          <w:p w:rsidR="003E726F" w:rsidRDefault="003E726F" w:rsidP="003E7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3E726F" w:rsidRDefault="003E726F" w:rsidP="003E7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3E726F" w:rsidRDefault="003E726F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26F" w:rsidTr="00C9214D">
        <w:trPr>
          <w:jc w:val="center"/>
        </w:trPr>
        <w:tc>
          <w:tcPr>
            <w:tcW w:w="0" w:type="auto"/>
          </w:tcPr>
          <w:p w:rsidR="003E726F" w:rsidRDefault="003E726F" w:rsidP="003E7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4.0.0.0.93</w:t>
            </w:r>
          </w:p>
        </w:tc>
        <w:tc>
          <w:tcPr>
            <w:tcW w:w="0" w:type="auto"/>
          </w:tcPr>
          <w:p w:rsidR="003E726F" w:rsidRDefault="003E726F" w:rsidP="003E7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3E726F" w:rsidRDefault="003E726F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26F" w:rsidTr="00C9214D">
        <w:trPr>
          <w:jc w:val="center"/>
        </w:trPr>
        <w:tc>
          <w:tcPr>
            <w:tcW w:w="0" w:type="auto"/>
          </w:tcPr>
          <w:p w:rsidR="003E726F" w:rsidRDefault="003E726F" w:rsidP="003E7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4.1.0.0.93</w:t>
            </w:r>
          </w:p>
        </w:tc>
        <w:tc>
          <w:tcPr>
            <w:tcW w:w="0" w:type="auto"/>
          </w:tcPr>
          <w:p w:rsidR="003E726F" w:rsidRDefault="003E726F" w:rsidP="003E7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E726F" w:rsidRDefault="003E726F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26F" w:rsidTr="00C9214D">
        <w:trPr>
          <w:jc w:val="center"/>
        </w:trPr>
        <w:tc>
          <w:tcPr>
            <w:tcW w:w="0" w:type="auto"/>
          </w:tcPr>
          <w:p w:rsidR="003E726F" w:rsidRDefault="003E726F" w:rsidP="003E7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4.1.3.0.93</w:t>
            </w:r>
          </w:p>
        </w:tc>
        <w:tc>
          <w:tcPr>
            <w:tcW w:w="0" w:type="auto"/>
          </w:tcPr>
          <w:p w:rsidR="003E726F" w:rsidRDefault="003E726F" w:rsidP="003E7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E726F" w:rsidRDefault="003E726F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3AC" w:rsidTr="00C9214D">
        <w:trPr>
          <w:jc w:val="center"/>
        </w:trPr>
        <w:tc>
          <w:tcPr>
            <w:tcW w:w="0" w:type="auto"/>
          </w:tcPr>
          <w:p w:rsidR="00AB53AC" w:rsidRDefault="00AB53A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53AC" w:rsidRDefault="00A618FA" w:rsidP="003E7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B24E3">
              <w:rPr>
                <w:rFonts w:ascii="Arial" w:hAnsi="Arial" w:cs="Arial"/>
                <w:sz w:val="20"/>
                <w:szCs w:val="20"/>
              </w:rPr>
              <w:t>I</w:t>
            </w:r>
            <w:r w:rsidR="00AB53A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E726F">
              <w:rPr>
                <w:rFonts w:ascii="Arial" w:hAnsi="Arial" w:cs="Arial"/>
                <w:sz w:val="20"/>
                <w:szCs w:val="20"/>
              </w:rPr>
              <w:t>Para extensão da rede de iluminação pública e domiciliar</w:t>
            </w:r>
          </w:p>
        </w:tc>
        <w:tc>
          <w:tcPr>
            <w:tcW w:w="0" w:type="auto"/>
          </w:tcPr>
          <w:p w:rsidR="00AB53AC" w:rsidRDefault="003E726F" w:rsidP="00AB53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B53AC" w:rsidTr="00C9214D">
        <w:trPr>
          <w:jc w:val="center"/>
        </w:trPr>
        <w:tc>
          <w:tcPr>
            <w:tcW w:w="0" w:type="auto"/>
          </w:tcPr>
          <w:p w:rsidR="00AB53AC" w:rsidRDefault="00AB53A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53AC" w:rsidRDefault="006B24E3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B53AC" w:rsidRDefault="003E726F" w:rsidP="00AB53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7415D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>agindo seus efeitos à data de 12</w:t>
      </w:r>
      <w:r w:rsidR="00BA59EC">
        <w:rPr>
          <w:rFonts w:ascii="Arial" w:hAnsi="Arial" w:cs="Arial"/>
          <w:sz w:val="20"/>
          <w:szCs w:val="20"/>
        </w:rPr>
        <w:t xml:space="preserve"> de agosto de 1968</w:t>
      </w:r>
      <w:r w:rsidR="00361E13">
        <w:rPr>
          <w:rFonts w:ascii="Arial" w:hAnsi="Arial" w:cs="Arial"/>
          <w:sz w:val="20"/>
          <w:szCs w:val="20"/>
        </w:rPr>
        <w:t>.</w:t>
      </w:r>
    </w:p>
    <w:p w:rsidR="006B24E3" w:rsidRDefault="006B24E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4E3" w:rsidRPr="006B24E3" w:rsidRDefault="006B24E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4E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Revogam-se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1A7B36">
        <w:rPr>
          <w:rFonts w:ascii="Arial" w:hAnsi="Arial" w:cs="Arial"/>
          <w:sz w:val="20"/>
          <w:szCs w:val="20"/>
        </w:rPr>
        <w:t>24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B75FEE">
        <w:rPr>
          <w:rFonts w:ascii="Arial" w:hAnsi="Arial" w:cs="Arial"/>
          <w:sz w:val="20"/>
          <w:szCs w:val="20"/>
        </w:rPr>
        <w:t xml:space="preserve">outubro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14DE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93432F38-716B-4B63-8A73-E125F9F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83E99-2DDE-4FA8-A94E-0369BAEC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2019-07-17T18:52:00Z</dcterms:created>
  <dcterms:modified xsi:type="dcterms:W3CDTF">2019-07-18T20:23:00Z</dcterms:modified>
</cp:coreProperties>
</file>