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AF0C2B">
        <w:rPr>
          <w:rFonts w:ascii="Arial" w:hAnsi="Arial" w:cs="Arial"/>
          <w:b/>
          <w:sz w:val="20"/>
          <w:szCs w:val="20"/>
        </w:rPr>
        <w:t>50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2647A">
        <w:rPr>
          <w:rFonts w:ascii="Arial" w:hAnsi="Arial" w:cs="Arial"/>
          <w:b/>
          <w:sz w:val="20"/>
          <w:szCs w:val="20"/>
        </w:rPr>
        <w:t>1</w:t>
      </w:r>
      <w:r w:rsidR="00F40DC7">
        <w:rPr>
          <w:rFonts w:ascii="Arial" w:hAnsi="Arial" w:cs="Arial"/>
          <w:b/>
          <w:sz w:val="20"/>
          <w:szCs w:val="20"/>
        </w:rPr>
        <w:t>6</w:t>
      </w:r>
      <w:bookmarkStart w:id="0" w:name="_GoBack"/>
      <w:bookmarkEnd w:id="0"/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60302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</w:t>
      </w:r>
      <w:r w:rsidR="00AF0C2B">
        <w:rPr>
          <w:rFonts w:ascii="Arial" w:hAnsi="Arial" w:cs="Arial"/>
          <w:sz w:val="20"/>
          <w:szCs w:val="20"/>
        </w:rPr>
        <w:t>rtura de um Crédito Suplementar</w:t>
      </w:r>
      <w:r>
        <w:rPr>
          <w:rFonts w:ascii="Arial" w:hAnsi="Arial" w:cs="Arial"/>
          <w:sz w:val="20"/>
          <w:szCs w:val="20"/>
        </w:rPr>
        <w:t>, conforme Lei nº 70</w:t>
      </w:r>
      <w:r w:rsidR="00AF0C2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/68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</w:t>
      </w:r>
      <w:r w:rsidR="00DC1B2B">
        <w:rPr>
          <w:rFonts w:ascii="Arial" w:hAnsi="Arial" w:cs="Arial"/>
          <w:sz w:val="20"/>
          <w:szCs w:val="20"/>
        </w:rPr>
        <w:t xml:space="preserve">o </w:t>
      </w:r>
      <w:r w:rsidR="00C93EA9">
        <w:rPr>
          <w:rFonts w:ascii="Arial" w:hAnsi="Arial" w:cs="Arial"/>
          <w:sz w:val="20"/>
          <w:szCs w:val="20"/>
        </w:rPr>
        <w:t>Executivo</w:t>
      </w:r>
      <w:r w:rsidR="00DC1B2B">
        <w:rPr>
          <w:rFonts w:ascii="Arial" w:hAnsi="Arial" w:cs="Arial"/>
          <w:sz w:val="20"/>
          <w:szCs w:val="20"/>
        </w:rPr>
        <w:t xml:space="preserve"> Municipal autorizado a abrir na Diretoria da Contabilidade, um crédito suplementar no valor de </w:t>
      </w:r>
      <w:proofErr w:type="spellStart"/>
      <w:r w:rsidR="00DC1B2B">
        <w:rPr>
          <w:rFonts w:ascii="Arial" w:hAnsi="Arial" w:cs="Arial"/>
          <w:sz w:val="20"/>
          <w:szCs w:val="20"/>
        </w:rPr>
        <w:t>NCr</w:t>
      </w:r>
      <w:proofErr w:type="spellEnd"/>
      <w:r w:rsidR="00DC1B2B">
        <w:rPr>
          <w:rFonts w:ascii="Arial" w:hAnsi="Arial" w:cs="Arial"/>
          <w:sz w:val="20"/>
          <w:szCs w:val="20"/>
        </w:rPr>
        <w:t xml:space="preserve">$ </w:t>
      </w:r>
      <w:r w:rsidR="00AF0C2B">
        <w:rPr>
          <w:rFonts w:ascii="Arial" w:hAnsi="Arial" w:cs="Arial"/>
          <w:sz w:val="20"/>
          <w:szCs w:val="20"/>
        </w:rPr>
        <w:t>2</w:t>
      </w:r>
      <w:r w:rsidR="00DC1B2B">
        <w:rPr>
          <w:rFonts w:ascii="Arial" w:hAnsi="Arial" w:cs="Arial"/>
          <w:sz w:val="20"/>
          <w:szCs w:val="20"/>
        </w:rPr>
        <w:t>.</w:t>
      </w:r>
      <w:r w:rsidR="00AF0C2B">
        <w:rPr>
          <w:rFonts w:ascii="Arial" w:hAnsi="Arial" w:cs="Arial"/>
          <w:sz w:val="20"/>
          <w:szCs w:val="20"/>
        </w:rPr>
        <w:t>6</w:t>
      </w:r>
      <w:r w:rsidR="00DC1B2B">
        <w:rPr>
          <w:rFonts w:ascii="Arial" w:hAnsi="Arial" w:cs="Arial"/>
          <w:sz w:val="20"/>
          <w:szCs w:val="20"/>
        </w:rPr>
        <w:t>00,00 (</w:t>
      </w:r>
      <w:r w:rsidR="00AF0C2B">
        <w:rPr>
          <w:rFonts w:ascii="Arial" w:hAnsi="Arial" w:cs="Arial"/>
          <w:sz w:val="20"/>
          <w:szCs w:val="20"/>
        </w:rPr>
        <w:t>dois</w:t>
      </w:r>
      <w:r w:rsidR="00DC1B2B">
        <w:rPr>
          <w:rFonts w:ascii="Arial" w:hAnsi="Arial" w:cs="Arial"/>
          <w:sz w:val="20"/>
          <w:szCs w:val="20"/>
        </w:rPr>
        <w:t xml:space="preserve"> mil e </w:t>
      </w:r>
      <w:r w:rsidR="00AF0C2B">
        <w:rPr>
          <w:rFonts w:ascii="Arial" w:hAnsi="Arial" w:cs="Arial"/>
          <w:sz w:val="20"/>
          <w:szCs w:val="20"/>
        </w:rPr>
        <w:t xml:space="preserve">seiscentos </w:t>
      </w:r>
      <w:r w:rsidR="0022647A">
        <w:rPr>
          <w:rFonts w:ascii="Arial" w:hAnsi="Arial" w:cs="Arial"/>
          <w:sz w:val="20"/>
          <w:szCs w:val="20"/>
        </w:rPr>
        <w:t>cruzeiros novos), destinado</w:t>
      </w:r>
      <w:r w:rsidR="00DC1B2B">
        <w:rPr>
          <w:rFonts w:ascii="Arial" w:hAnsi="Arial" w:cs="Arial"/>
          <w:sz w:val="20"/>
          <w:szCs w:val="20"/>
        </w:rPr>
        <w:t xml:space="preserve"> a suplementar a</w:t>
      </w:r>
      <w:r w:rsidR="00AF0C2B">
        <w:rPr>
          <w:rFonts w:ascii="Arial" w:hAnsi="Arial" w:cs="Arial"/>
          <w:sz w:val="20"/>
          <w:szCs w:val="20"/>
        </w:rPr>
        <w:t>s</w:t>
      </w:r>
      <w:r w:rsidR="00DC1B2B">
        <w:rPr>
          <w:rFonts w:ascii="Arial" w:hAnsi="Arial" w:cs="Arial"/>
          <w:sz w:val="20"/>
          <w:szCs w:val="20"/>
        </w:rPr>
        <w:t xml:space="preserve"> dotaç</w:t>
      </w:r>
      <w:r w:rsidR="00AF0C2B">
        <w:rPr>
          <w:rFonts w:ascii="Arial" w:hAnsi="Arial" w:cs="Arial"/>
          <w:sz w:val="20"/>
          <w:szCs w:val="20"/>
        </w:rPr>
        <w:t>ões</w:t>
      </w:r>
      <w:r w:rsidR="00DC1B2B">
        <w:rPr>
          <w:rFonts w:ascii="Arial" w:hAnsi="Arial" w:cs="Arial"/>
          <w:sz w:val="20"/>
          <w:szCs w:val="20"/>
        </w:rPr>
        <w:t xml:space="preserve"> abaixo enumerada</w:t>
      </w:r>
      <w:r w:rsidR="00AF0C2B">
        <w:rPr>
          <w:rFonts w:ascii="Arial" w:hAnsi="Arial" w:cs="Arial"/>
          <w:sz w:val="20"/>
          <w:szCs w:val="20"/>
        </w:rPr>
        <w:t>s</w:t>
      </w:r>
      <w:r w:rsidR="0022647A">
        <w:rPr>
          <w:rFonts w:ascii="Arial" w:hAnsi="Arial" w:cs="Arial"/>
          <w:sz w:val="20"/>
          <w:szCs w:val="20"/>
        </w:rPr>
        <w:t>,</w:t>
      </w:r>
      <w:r w:rsidR="00DC1B2B">
        <w:rPr>
          <w:rFonts w:ascii="Arial" w:hAnsi="Arial" w:cs="Arial"/>
          <w:sz w:val="20"/>
          <w:szCs w:val="20"/>
        </w:rPr>
        <w:t xml:space="preserve"> constante</w:t>
      </w:r>
      <w:r w:rsidR="00AF0C2B">
        <w:rPr>
          <w:rFonts w:ascii="Arial" w:hAnsi="Arial" w:cs="Arial"/>
          <w:sz w:val="20"/>
          <w:szCs w:val="20"/>
        </w:rPr>
        <w:t>s</w:t>
      </w:r>
      <w:r w:rsidR="00DC1B2B">
        <w:rPr>
          <w:rFonts w:ascii="Arial" w:hAnsi="Arial" w:cs="Arial"/>
          <w:sz w:val="20"/>
          <w:szCs w:val="20"/>
        </w:rPr>
        <w:t xml:space="preserve"> do orçamento vigente</w:t>
      </w:r>
      <w:r w:rsidR="00C93EA9">
        <w:rPr>
          <w:rFonts w:ascii="Arial" w:hAnsi="Arial" w:cs="Arial"/>
          <w:sz w:val="20"/>
          <w:szCs w:val="20"/>
        </w:rPr>
        <w:t>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88"/>
        <w:gridCol w:w="1340"/>
      </w:tblGrid>
      <w:tr w:rsidR="00DC1B2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C1B2B" w:rsidTr="00476743">
        <w:trPr>
          <w:jc w:val="center"/>
        </w:trPr>
        <w:tc>
          <w:tcPr>
            <w:tcW w:w="0" w:type="auto"/>
          </w:tcPr>
          <w:p w:rsidR="00476743" w:rsidRDefault="00AF0C2B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476743" w:rsidRDefault="00AF0C2B" w:rsidP="00DC1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476743" w:rsidRDefault="0022647A" w:rsidP="002264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AF0C2B" w:rsidTr="00476743">
        <w:trPr>
          <w:jc w:val="center"/>
        </w:trPr>
        <w:tc>
          <w:tcPr>
            <w:tcW w:w="0" w:type="auto"/>
          </w:tcPr>
          <w:p w:rsidR="00AF0C2B" w:rsidRDefault="00AF0C2B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3.0.0.0.94</w:t>
            </w:r>
          </w:p>
        </w:tc>
        <w:tc>
          <w:tcPr>
            <w:tcW w:w="0" w:type="auto"/>
          </w:tcPr>
          <w:p w:rsidR="00AF0C2B" w:rsidRDefault="00AF0C2B" w:rsidP="00DC1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F0C2B" w:rsidRDefault="00AF0C2B" w:rsidP="002264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C2B" w:rsidTr="00476743">
        <w:trPr>
          <w:jc w:val="center"/>
        </w:trPr>
        <w:tc>
          <w:tcPr>
            <w:tcW w:w="0" w:type="auto"/>
          </w:tcPr>
          <w:p w:rsidR="00AF0C2B" w:rsidRDefault="00AF0C2B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3.1.0.0.94</w:t>
            </w:r>
          </w:p>
        </w:tc>
        <w:tc>
          <w:tcPr>
            <w:tcW w:w="0" w:type="auto"/>
          </w:tcPr>
          <w:p w:rsidR="00AF0C2B" w:rsidRDefault="00AF0C2B" w:rsidP="00DC1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F0C2B" w:rsidRDefault="00AF0C2B" w:rsidP="002264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C2B" w:rsidTr="00476743">
        <w:trPr>
          <w:jc w:val="center"/>
        </w:trPr>
        <w:tc>
          <w:tcPr>
            <w:tcW w:w="0" w:type="auto"/>
          </w:tcPr>
          <w:p w:rsidR="00AF0C2B" w:rsidRDefault="00AF0C2B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3.1.3.0.94</w:t>
            </w:r>
          </w:p>
        </w:tc>
        <w:tc>
          <w:tcPr>
            <w:tcW w:w="0" w:type="auto"/>
          </w:tcPr>
          <w:p w:rsidR="00AF0C2B" w:rsidRDefault="00AF0C2B" w:rsidP="00DC1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AF0C2B" w:rsidRDefault="00AF0C2B" w:rsidP="002264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C2B" w:rsidTr="00476743">
        <w:trPr>
          <w:jc w:val="center"/>
        </w:trPr>
        <w:tc>
          <w:tcPr>
            <w:tcW w:w="0" w:type="auto"/>
          </w:tcPr>
          <w:p w:rsidR="00AF0C2B" w:rsidRDefault="00AF0C2B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0C2B" w:rsidRDefault="00AF0C2B" w:rsidP="00DC1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Serviços de empreitada por terceiros</w:t>
            </w:r>
          </w:p>
        </w:tc>
        <w:tc>
          <w:tcPr>
            <w:tcW w:w="0" w:type="auto"/>
          </w:tcPr>
          <w:p w:rsidR="00AF0C2B" w:rsidRDefault="00AF0C2B" w:rsidP="002264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C10D81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10D81" w:rsidRDefault="00AF0C2B" w:rsidP="00C10D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  <w:r w:rsidR="00F35182">
              <w:rPr>
                <w:rFonts w:ascii="Arial" w:hAnsi="Arial" w:cs="Arial"/>
                <w:sz w:val="20"/>
                <w:szCs w:val="20"/>
              </w:rPr>
              <w:t>00</w:t>
            </w:r>
            <w:r w:rsidR="00CE41E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DC1B2B">
        <w:rPr>
          <w:rFonts w:ascii="Arial" w:hAnsi="Arial" w:cs="Arial"/>
          <w:sz w:val="20"/>
          <w:szCs w:val="20"/>
        </w:rPr>
        <w:t>O valor do presente crédito suplementar, correrá por conta da anulação parcial da seguinte verba do orçamento vigente, abaixo descrita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366"/>
        <w:gridCol w:w="1340"/>
      </w:tblGrid>
      <w:tr w:rsidR="00F35182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C1B2B" w:rsidTr="00C9214D">
        <w:trPr>
          <w:jc w:val="center"/>
        </w:trPr>
        <w:tc>
          <w:tcPr>
            <w:tcW w:w="0" w:type="auto"/>
          </w:tcPr>
          <w:p w:rsidR="00D249CB" w:rsidRDefault="00AF0C2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0" w:type="auto"/>
          </w:tcPr>
          <w:p w:rsidR="00D249CB" w:rsidRDefault="00AF0C2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C2B" w:rsidTr="00C9214D">
        <w:trPr>
          <w:jc w:val="center"/>
        </w:trPr>
        <w:tc>
          <w:tcPr>
            <w:tcW w:w="0" w:type="auto"/>
          </w:tcPr>
          <w:p w:rsidR="00AF0C2B" w:rsidRDefault="00AF0C2B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3.0.0.0.93</w:t>
            </w:r>
          </w:p>
        </w:tc>
        <w:tc>
          <w:tcPr>
            <w:tcW w:w="0" w:type="auto"/>
          </w:tcPr>
          <w:p w:rsidR="00AF0C2B" w:rsidRDefault="00AF0C2B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F0C2B" w:rsidRDefault="00AF0C2B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C2B" w:rsidTr="00C9214D">
        <w:trPr>
          <w:jc w:val="center"/>
        </w:trPr>
        <w:tc>
          <w:tcPr>
            <w:tcW w:w="0" w:type="auto"/>
          </w:tcPr>
          <w:p w:rsidR="00AF0C2B" w:rsidRDefault="00AF0C2B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3.1.0.0.93</w:t>
            </w:r>
          </w:p>
        </w:tc>
        <w:tc>
          <w:tcPr>
            <w:tcW w:w="0" w:type="auto"/>
          </w:tcPr>
          <w:p w:rsidR="00AF0C2B" w:rsidRDefault="00AF0C2B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F0C2B" w:rsidRDefault="00AF0C2B" w:rsidP="00AF0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C2B" w:rsidTr="00C9214D">
        <w:trPr>
          <w:jc w:val="center"/>
        </w:trPr>
        <w:tc>
          <w:tcPr>
            <w:tcW w:w="0" w:type="auto"/>
          </w:tcPr>
          <w:p w:rsidR="00AF0C2B" w:rsidRDefault="00AF0C2B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3.1.3.0.93</w:t>
            </w:r>
          </w:p>
        </w:tc>
        <w:tc>
          <w:tcPr>
            <w:tcW w:w="0" w:type="auto"/>
          </w:tcPr>
          <w:p w:rsidR="00AF0C2B" w:rsidRDefault="00AF0C2B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AF0C2B" w:rsidRDefault="00AF0C2B" w:rsidP="00AF0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C2B" w:rsidTr="00C9214D">
        <w:trPr>
          <w:jc w:val="center"/>
        </w:trPr>
        <w:tc>
          <w:tcPr>
            <w:tcW w:w="0" w:type="auto"/>
          </w:tcPr>
          <w:p w:rsidR="00AF0C2B" w:rsidRDefault="00AF0C2B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0C2B" w:rsidRDefault="00AF0C2B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 – Aq.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Combst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lubrificantes</w:t>
            </w:r>
          </w:p>
        </w:tc>
        <w:tc>
          <w:tcPr>
            <w:tcW w:w="0" w:type="auto"/>
          </w:tcPr>
          <w:p w:rsidR="00AF0C2B" w:rsidRDefault="00AF0C2B" w:rsidP="00AF0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AF0C2B" w:rsidTr="00C9214D">
        <w:trPr>
          <w:jc w:val="center"/>
        </w:trPr>
        <w:tc>
          <w:tcPr>
            <w:tcW w:w="0" w:type="auto"/>
          </w:tcPr>
          <w:p w:rsidR="00AF0C2B" w:rsidRDefault="00AF0C2B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0" w:type="auto"/>
          </w:tcPr>
          <w:p w:rsidR="00AF0C2B" w:rsidRDefault="00AF0C2B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AF0C2B" w:rsidRDefault="00AF0C2B" w:rsidP="00AF0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C2B" w:rsidTr="00C9214D">
        <w:trPr>
          <w:jc w:val="center"/>
        </w:trPr>
        <w:tc>
          <w:tcPr>
            <w:tcW w:w="0" w:type="auto"/>
          </w:tcPr>
          <w:p w:rsidR="00AF0C2B" w:rsidRDefault="00AF0C2B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3.0.0.0.93</w:t>
            </w:r>
          </w:p>
        </w:tc>
        <w:tc>
          <w:tcPr>
            <w:tcW w:w="0" w:type="auto"/>
          </w:tcPr>
          <w:p w:rsidR="00AF0C2B" w:rsidRDefault="00AF0C2B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F0C2B" w:rsidRDefault="00AF0C2B" w:rsidP="00AF0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C2B" w:rsidTr="00C9214D">
        <w:trPr>
          <w:jc w:val="center"/>
        </w:trPr>
        <w:tc>
          <w:tcPr>
            <w:tcW w:w="0" w:type="auto"/>
          </w:tcPr>
          <w:p w:rsidR="00AF0C2B" w:rsidRDefault="00AF0C2B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3.1.0.0.93</w:t>
            </w:r>
          </w:p>
        </w:tc>
        <w:tc>
          <w:tcPr>
            <w:tcW w:w="0" w:type="auto"/>
          </w:tcPr>
          <w:p w:rsidR="00AF0C2B" w:rsidRDefault="00AF0C2B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F0C2B" w:rsidRDefault="00AF0C2B" w:rsidP="00AF0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C2B" w:rsidTr="00C9214D">
        <w:trPr>
          <w:jc w:val="center"/>
        </w:trPr>
        <w:tc>
          <w:tcPr>
            <w:tcW w:w="0" w:type="auto"/>
          </w:tcPr>
          <w:p w:rsidR="00AF0C2B" w:rsidRDefault="00AF0C2B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3.1.2.0.93</w:t>
            </w:r>
          </w:p>
        </w:tc>
        <w:tc>
          <w:tcPr>
            <w:tcW w:w="0" w:type="auto"/>
          </w:tcPr>
          <w:p w:rsidR="00AF0C2B" w:rsidRDefault="00AF0C2B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AF0C2B" w:rsidRDefault="00AF0C2B" w:rsidP="00AF0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C2B" w:rsidTr="00C9214D">
        <w:trPr>
          <w:jc w:val="center"/>
        </w:trPr>
        <w:tc>
          <w:tcPr>
            <w:tcW w:w="0" w:type="auto"/>
          </w:tcPr>
          <w:p w:rsidR="00AF0C2B" w:rsidRDefault="00AF0C2B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0C2B" w:rsidRDefault="00AF0C2B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Aq. de material elétrico</w:t>
            </w:r>
          </w:p>
        </w:tc>
        <w:tc>
          <w:tcPr>
            <w:tcW w:w="0" w:type="auto"/>
          </w:tcPr>
          <w:p w:rsidR="00AF0C2B" w:rsidRDefault="00AF0C2B" w:rsidP="00AF0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AF0C2B" w:rsidTr="00C9214D">
        <w:trPr>
          <w:jc w:val="center"/>
        </w:trPr>
        <w:tc>
          <w:tcPr>
            <w:tcW w:w="0" w:type="auto"/>
          </w:tcPr>
          <w:p w:rsidR="00AF0C2B" w:rsidRDefault="00AF0C2B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0" w:type="auto"/>
          </w:tcPr>
          <w:p w:rsidR="00AF0C2B" w:rsidRDefault="00AF0C2B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 Municipal</w:t>
            </w:r>
          </w:p>
        </w:tc>
        <w:tc>
          <w:tcPr>
            <w:tcW w:w="0" w:type="auto"/>
          </w:tcPr>
          <w:p w:rsidR="00AF0C2B" w:rsidRDefault="00AF0C2B" w:rsidP="00AF0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C2B" w:rsidTr="00C9214D">
        <w:trPr>
          <w:jc w:val="center"/>
        </w:trPr>
        <w:tc>
          <w:tcPr>
            <w:tcW w:w="0" w:type="auto"/>
          </w:tcPr>
          <w:p w:rsidR="00AF0C2B" w:rsidRDefault="00AF0C2B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4.0.0.0.97</w:t>
            </w:r>
          </w:p>
        </w:tc>
        <w:tc>
          <w:tcPr>
            <w:tcW w:w="0" w:type="auto"/>
          </w:tcPr>
          <w:p w:rsidR="00AF0C2B" w:rsidRDefault="00AF0C2B" w:rsidP="00F40D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F40DC7">
              <w:rPr>
                <w:rFonts w:ascii="Arial" w:hAnsi="Arial" w:cs="Arial"/>
                <w:sz w:val="20"/>
                <w:szCs w:val="20"/>
              </w:rPr>
              <w:t>de Capital</w:t>
            </w:r>
          </w:p>
        </w:tc>
        <w:tc>
          <w:tcPr>
            <w:tcW w:w="0" w:type="auto"/>
          </w:tcPr>
          <w:p w:rsidR="00AF0C2B" w:rsidRDefault="00AF0C2B" w:rsidP="00AF0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C2B" w:rsidTr="00C9214D">
        <w:trPr>
          <w:jc w:val="center"/>
        </w:trPr>
        <w:tc>
          <w:tcPr>
            <w:tcW w:w="0" w:type="auto"/>
          </w:tcPr>
          <w:p w:rsidR="00AF0C2B" w:rsidRDefault="00AF0C2B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4.1.0.0.97</w:t>
            </w:r>
          </w:p>
        </w:tc>
        <w:tc>
          <w:tcPr>
            <w:tcW w:w="0" w:type="auto"/>
          </w:tcPr>
          <w:p w:rsidR="00AF0C2B" w:rsidRDefault="00F40DC7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AF0C2B" w:rsidRDefault="00AF0C2B" w:rsidP="00AF0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C2B" w:rsidTr="00C9214D">
        <w:trPr>
          <w:jc w:val="center"/>
        </w:trPr>
        <w:tc>
          <w:tcPr>
            <w:tcW w:w="0" w:type="auto"/>
          </w:tcPr>
          <w:p w:rsidR="00AF0C2B" w:rsidRDefault="00AF0C2B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4.1.1.0.97</w:t>
            </w:r>
          </w:p>
        </w:tc>
        <w:tc>
          <w:tcPr>
            <w:tcW w:w="0" w:type="auto"/>
          </w:tcPr>
          <w:p w:rsidR="00AF0C2B" w:rsidRDefault="00F40DC7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AF0C2B" w:rsidRDefault="00AF0C2B" w:rsidP="00AF0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C2B" w:rsidTr="00C9214D">
        <w:trPr>
          <w:jc w:val="center"/>
        </w:trPr>
        <w:tc>
          <w:tcPr>
            <w:tcW w:w="0" w:type="auto"/>
          </w:tcPr>
          <w:p w:rsidR="00AF0C2B" w:rsidRDefault="00AF0C2B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0C2B" w:rsidRDefault="00F40DC7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Para construção no cemitério</w:t>
            </w:r>
          </w:p>
        </w:tc>
        <w:tc>
          <w:tcPr>
            <w:tcW w:w="0" w:type="auto"/>
          </w:tcPr>
          <w:p w:rsidR="00AF0C2B" w:rsidRDefault="00F40DC7" w:rsidP="00AF0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AF0C2B" w:rsidTr="00C9214D">
        <w:trPr>
          <w:jc w:val="center"/>
        </w:trPr>
        <w:tc>
          <w:tcPr>
            <w:tcW w:w="0" w:type="auto"/>
          </w:tcPr>
          <w:p w:rsidR="00AF0C2B" w:rsidRDefault="00AF0C2B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0C2B" w:rsidRDefault="00AF0C2B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AF0C2B" w:rsidRDefault="00F40DC7" w:rsidP="00AF0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</w:t>
            </w:r>
            <w:r w:rsidR="00AF0C2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DC1B2B">
        <w:rPr>
          <w:rFonts w:ascii="Arial" w:hAnsi="Arial" w:cs="Arial"/>
          <w:sz w:val="20"/>
          <w:szCs w:val="20"/>
        </w:rPr>
        <w:t>revoga</w:t>
      </w:r>
      <w:r w:rsidR="0022647A">
        <w:rPr>
          <w:rFonts w:ascii="Arial" w:hAnsi="Arial" w:cs="Arial"/>
          <w:sz w:val="20"/>
          <w:szCs w:val="20"/>
        </w:rPr>
        <w:t>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lastRenderedPageBreak/>
        <w:t xml:space="preserve">Prefeitura Municipal de Ferraz de Vasconcelos, em </w:t>
      </w:r>
      <w:r w:rsidR="0022647A">
        <w:rPr>
          <w:rFonts w:ascii="Arial" w:hAnsi="Arial" w:cs="Arial"/>
          <w:sz w:val="20"/>
          <w:szCs w:val="20"/>
        </w:rPr>
        <w:t>1</w:t>
      </w:r>
      <w:r w:rsidR="00F40DC7">
        <w:rPr>
          <w:rFonts w:ascii="Arial" w:hAnsi="Arial" w:cs="Arial"/>
          <w:sz w:val="20"/>
          <w:szCs w:val="20"/>
        </w:rPr>
        <w:t>6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47A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0302"/>
    <w:rsid w:val="007644CC"/>
    <w:rsid w:val="0076714C"/>
    <w:rsid w:val="00771D49"/>
    <w:rsid w:val="00772856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16612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0C2B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158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95A45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1B2B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0DC7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6DB8AAFD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312CF-F0B3-41C6-91BA-68431C59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2019-07-18T19:16:00Z</dcterms:created>
  <dcterms:modified xsi:type="dcterms:W3CDTF">2019-07-18T19:27:00Z</dcterms:modified>
</cp:coreProperties>
</file>