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F0C2B">
        <w:rPr>
          <w:rFonts w:ascii="Arial" w:hAnsi="Arial" w:cs="Arial"/>
          <w:b/>
          <w:sz w:val="20"/>
          <w:szCs w:val="20"/>
        </w:rPr>
        <w:t>5</w:t>
      </w:r>
      <w:r w:rsidR="0024773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773F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D10D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Suplementa verbas constantes do orçamento vigente, </w:t>
      </w:r>
      <w:r w:rsidR="00760302">
        <w:rPr>
          <w:rFonts w:ascii="Arial" w:hAnsi="Arial" w:cs="Arial"/>
          <w:sz w:val="20"/>
          <w:szCs w:val="20"/>
        </w:rPr>
        <w:t xml:space="preserve">conforme Lei nº </w:t>
      </w:r>
      <w:r>
        <w:rPr>
          <w:rFonts w:ascii="Arial" w:hAnsi="Arial" w:cs="Arial"/>
          <w:sz w:val="20"/>
          <w:szCs w:val="20"/>
        </w:rPr>
        <w:t>669</w:t>
      </w:r>
      <w:r w:rsidR="00760302">
        <w:rPr>
          <w:rFonts w:ascii="Arial" w:hAnsi="Arial" w:cs="Arial"/>
          <w:sz w:val="20"/>
          <w:szCs w:val="20"/>
        </w:rPr>
        <w:t>/68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</w:t>
      </w:r>
      <w:r w:rsidR="00CD10DA">
        <w:rPr>
          <w:rFonts w:ascii="Arial" w:hAnsi="Arial" w:cs="Arial"/>
          <w:sz w:val="20"/>
          <w:szCs w:val="20"/>
        </w:rPr>
        <w:t xml:space="preserve">suplementada na importância </w:t>
      </w:r>
      <w:r w:rsidR="00DC1B2B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DC1B2B">
        <w:rPr>
          <w:rFonts w:ascii="Arial" w:hAnsi="Arial" w:cs="Arial"/>
          <w:sz w:val="20"/>
          <w:szCs w:val="20"/>
        </w:rPr>
        <w:t>NCr</w:t>
      </w:r>
      <w:proofErr w:type="spellEnd"/>
      <w:r w:rsidR="00DC1B2B">
        <w:rPr>
          <w:rFonts w:ascii="Arial" w:hAnsi="Arial" w:cs="Arial"/>
          <w:sz w:val="20"/>
          <w:szCs w:val="20"/>
        </w:rPr>
        <w:t xml:space="preserve">$ </w:t>
      </w:r>
      <w:r w:rsidR="00CD10DA">
        <w:rPr>
          <w:rFonts w:ascii="Arial" w:hAnsi="Arial" w:cs="Arial"/>
          <w:sz w:val="20"/>
          <w:szCs w:val="20"/>
        </w:rPr>
        <w:t>62</w:t>
      </w:r>
      <w:r w:rsidR="00DC1B2B">
        <w:rPr>
          <w:rFonts w:ascii="Arial" w:hAnsi="Arial" w:cs="Arial"/>
          <w:sz w:val="20"/>
          <w:szCs w:val="20"/>
        </w:rPr>
        <w:t>,00 (</w:t>
      </w:r>
      <w:r w:rsidR="00CD10DA">
        <w:rPr>
          <w:rFonts w:ascii="Arial" w:hAnsi="Arial" w:cs="Arial"/>
          <w:sz w:val="20"/>
          <w:szCs w:val="20"/>
        </w:rPr>
        <w:t xml:space="preserve">sessenta e </w:t>
      </w:r>
      <w:r w:rsidR="00AF0C2B">
        <w:rPr>
          <w:rFonts w:ascii="Arial" w:hAnsi="Arial" w:cs="Arial"/>
          <w:sz w:val="20"/>
          <w:szCs w:val="20"/>
        </w:rPr>
        <w:t>dois</w:t>
      </w:r>
      <w:r w:rsidR="00DC1B2B">
        <w:rPr>
          <w:rFonts w:ascii="Arial" w:hAnsi="Arial" w:cs="Arial"/>
          <w:sz w:val="20"/>
          <w:szCs w:val="20"/>
        </w:rPr>
        <w:t xml:space="preserve"> </w:t>
      </w:r>
      <w:r w:rsidR="0022647A">
        <w:rPr>
          <w:rFonts w:ascii="Arial" w:hAnsi="Arial" w:cs="Arial"/>
          <w:sz w:val="20"/>
          <w:szCs w:val="20"/>
        </w:rPr>
        <w:t xml:space="preserve">cruzeiros novos), </w:t>
      </w:r>
      <w:r w:rsidR="00DC1B2B">
        <w:rPr>
          <w:rFonts w:ascii="Arial" w:hAnsi="Arial" w:cs="Arial"/>
          <w:sz w:val="20"/>
          <w:szCs w:val="20"/>
        </w:rPr>
        <w:t>a</w:t>
      </w:r>
      <w:r w:rsidR="00AF0C2B">
        <w:rPr>
          <w:rFonts w:ascii="Arial" w:hAnsi="Arial" w:cs="Arial"/>
          <w:sz w:val="20"/>
          <w:szCs w:val="20"/>
        </w:rPr>
        <w:t>s</w:t>
      </w:r>
      <w:r w:rsidR="00DC1B2B">
        <w:rPr>
          <w:rFonts w:ascii="Arial" w:hAnsi="Arial" w:cs="Arial"/>
          <w:sz w:val="20"/>
          <w:szCs w:val="20"/>
        </w:rPr>
        <w:t xml:space="preserve"> dotaç</w:t>
      </w:r>
      <w:r w:rsidR="00AF0C2B">
        <w:rPr>
          <w:rFonts w:ascii="Arial" w:hAnsi="Arial" w:cs="Arial"/>
          <w:sz w:val="20"/>
          <w:szCs w:val="20"/>
        </w:rPr>
        <w:t>ões</w:t>
      </w:r>
      <w:r w:rsidR="00DC1B2B">
        <w:rPr>
          <w:rFonts w:ascii="Arial" w:hAnsi="Arial" w:cs="Arial"/>
          <w:sz w:val="20"/>
          <w:szCs w:val="20"/>
        </w:rPr>
        <w:t xml:space="preserve"> </w:t>
      </w:r>
      <w:r w:rsidR="00CD10DA">
        <w:rPr>
          <w:rFonts w:ascii="Arial" w:hAnsi="Arial" w:cs="Arial"/>
          <w:sz w:val="20"/>
          <w:szCs w:val="20"/>
        </w:rPr>
        <w:t xml:space="preserve">do orçamento vigente </w:t>
      </w:r>
      <w:r w:rsidR="00DC1B2B">
        <w:rPr>
          <w:rFonts w:ascii="Arial" w:hAnsi="Arial" w:cs="Arial"/>
          <w:sz w:val="20"/>
          <w:szCs w:val="20"/>
        </w:rPr>
        <w:t xml:space="preserve">abaixo </w:t>
      </w:r>
      <w:r w:rsidR="00CD10DA">
        <w:rPr>
          <w:rFonts w:ascii="Arial" w:hAnsi="Arial" w:cs="Arial"/>
          <w:sz w:val="20"/>
          <w:szCs w:val="20"/>
        </w:rPr>
        <w:t>discriminada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44"/>
        <w:gridCol w:w="1340"/>
      </w:tblGrid>
      <w:tr w:rsidR="00DC1B2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476743">
        <w:trPr>
          <w:jc w:val="center"/>
        </w:trPr>
        <w:tc>
          <w:tcPr>
            <w:tcW w:w="0" w:type="auto"/>
          </w:tcPr>
          <w:p w:rsidR="00476743" w:rsidRDefault="00AF0C2B" w:rsidP="00CD1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CD10D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76743" w:rsidRDefault="00CD10DA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Melhoramentos Públicos</w:t>
            </w:r>
          </w:p>
        </w:tc>
        <w:tc>
          <w:tcPr>
            <w:tcW w:w="0" w:type="auto"/>
          </w:tcPr>
          <w:p w:rsidR="00476743" w:rsidRDefault="0022647A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CD10D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AF0C2B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CD10D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AF0C2B" w:rsidRDefault="00AF0C2B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CD10D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</w:tcPr>
          <w:p w:rsidR="00AF0C2B" w:rsidRDefault="00CD10DA" w:rsidP="00DC1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F0C2B" w:rsidRDefault="00AF0C2B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476743">
        <w:trPr>
          <w:jc w:val="center"/>
        </w:trPr>
        <w:tc>
          <w:tcPr>
            <w:tcW w:w="0" w:type="auto"/>
          </w:tcPr>
          <w:p w:rsidR="00AF0C2B" w:rsidRDefault="00AF0C2B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CD10DA" w:rsidP="00CD1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F0C2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vencimentos do pessoal efetivo</w:t>
            </w:r>
          </w:p>
        </w:tc>
        <w:tc>
          <w:tcPr>
            <w:tcW w:w="0" w:type="auto"/>
          </w:tcPr>
          <w:p w:rsidR="00AF0C2B" w:rsidRDefault="00CD10DA" w:rsidP="002264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AF0C2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CD10DA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DC1B2B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C1B2B" w:rsidTr="00C9214D">
        <w:trPr>
          <w:jc w:val="center"/>
        </w:trPr>
        <w:tc>
          <w:tcPr>
            <w:tcW w:w="0" w:type="auto"/>
          </w:tcPr>
          <w:p w:rsidR="00D249CB" w:rsidRDefault="00CD10D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D249CB" w:rsidRDefault="00CD10DA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D249CB" w:rsidRDefault="00D249CB" w:rsidP="00D249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CD10DA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CD10DA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F0C2B" w:rsidRDefault="00CD10DA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  <w:tr w:rsidR="00AF0C2B" w:rsidTr="00C9214D">
        <w:trPr>
          <w:jc w:val="center"/>
        </w:trPr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C2B" w:rsidRDefault="00AF0C2B" w:rsidP="00AF0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F0C2B" w:rsidRDefault="00CD10DA" w:rsidP="00AF0C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DC1B2B">
        <w:rPr>
          <w:rFonts w:ascii="Arial" w:hAnsi="Arial" w:cs="Arial"/>
          <w:sz w:val="20"/>
          <w:szCs w:val="20"/>
        </w:rPr>
        <w:t>revoga</w:t>
      </w:r>
      <w:r w:rsidR="0022647A">
        <w:rPr>
          <w:rFonts w:ascii="Arial" w:hAnsi="Arial" w:cs="Arial"/>
          <w:sz w:val="20"/>
          <w:szCs w:val="20"/>
        </w:rPr>
        <w:t>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lastRenderedPageBreak/>
        <w:t xml:space="preserve">Prefeitura Municipal de Ferraz de Vasconcelos, em </w:t>
      </w:r>
      <w:r w:rsidR="0024773F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47A"/>
    <w:rsid w:val="00226B4A"/>
    <w:rsid w:val="00233AB9"/>
    <w:rsid w:val="002350D8"/>
    <w:rsid w:val="00235C9A"/>
    <w:rsid w:val="002464CB"/>
    <w:rsid w:val="0024773F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564BE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0302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6612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0C2B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158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95A45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0DA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1B2B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0DC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473927A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CB59-8145-4BB0-8389-5E37F7E4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2019-07-18T19:28:00Z</dcterms:created>
  <dcterms:modified xsi:type="dcterms:W3CDTF">2019-07-18T19:35:00Z</dcterms:modified>
</cp:coreProperties>
</file>