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A40B4A">
        <w:rPr>
          <w:rFonts w:ascii="Arial" w:hAnsi="Arial" w:cs="Arial"/>
          <w:b/>
          <w:sz w:val="20"/>
          <w:szCs w:val="20"/>
        </w:rPr>
        <w:t>5</w:t>
      </w:r>
      <w:r w:rsidR="00002C6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002C68">
        <w:rPr>
          <w:rFonts w:ascii="Arial" w:hAnsi="Arial" w:cs="Arial"/>
          <w:sz w:val="20"/>
          <w:szCs w:val="20"/>
        </w:rPr>
        <w:t>15</w:t>
      </w:r>
      <w:r w:rsidR="00F35182">
        <w:rPr>
          <w:rFonts w:ascii="Arial" w:hAnsi="Arial" w:cs="Arial"/>
          <w:sz w:val="20"/>
          <w:szCs w:val="20"/>
        </w:rPr>
        <w:t>0</w:t>
      </w:r>
      <w:r w:rsidR="00CE41E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002C68">
        <w:rPr>
          <w:rFonts w:ascii="Arial" w:hAnsi="Arial" w:cs="Arial"/>
          <w:sz w:val="20"/>
          <w:szCs w:val="20"/>
        </w:rPr>
        <w:t>cento e cinquenta</w:t>
      </w:r>
      <w:r w:rsidR="00F3518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002C68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D249CB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</w:t>
            </w:r>
            <w:r w:rsidR="00A40B4A">
              <w:rPr>
                <w:rFonts w:ascii="Arial" w:hAnsi="Arial" w:cs="Arial"/>
                <w:sz w:val="20"/>
                <w:szCs w:val="20"/>
              </w:rPr>
              <w:t xml:space="preserve">rução </w:t>
            </w:r>
            <w:r w:rsidR="00002C68">
              <w:rPr>
                <w:rFonts w:ascii="Arial" w:hAnsi="Arial" w:cs="Arial"/>
                <w:sz w:val="20"/>
                <w:szCs w:val="20"/>
              </w:rPr>
              <w:t xml:space="preserve">e Conservação de Vias </w:t>
            </w:r>
            <w:r>
              <w:rPr>
                <w:rFonts w:ascii="Arial" w:hAnsi="Arial" w:cs="Arial"/>
                <w:sz w:val="20"/>
                <w:szCs w:val="20"/>
              </w:rPr>
              <w:t>Públic</w:t>
            </w:r>
            <w:r w:rsidR="00002C6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A40B4A">
              <w:rPr>
                <w:rFonts w:ascii="Arial" w:hAnsi="Arial" w:cs="Arial"/>
                <w:sz w:val="20"/>
                <w:szCs w:val="20"/>
              </w:rPr>
              <w:t>9</w:t>
            </w:r>
            <w:r w:rsidR="00002C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6743" w:rsidRDefault="0047674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10D81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D249CB">
              <w:rPr>
                <w:rFonts w:ascii="Arial" w:hAnsi="Arial" w:cs="Arial"/>
                <w:sz w:val="20"/>
                <w:szCs w:val="20"/>
              </w:rPr>
              <w:t>9</w:t>
            </w:r>
            <w:r w:rsidR="00002C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6743" w:rsidRDefault="00C10D81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C10D81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A40B4A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A40B4A">
              <w:rPr>
                <w:rFonts w:ascii="Arial" w:hAnsi="Arial" w:cs="Arial"/>
                <w:sz w:val="20"/>
                <w:szCs w:val="20"/>
              </w:rPr>
              <w:t>9</w:t>
            </w:r>
            <w:r w:rsidR="00002C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6743" w:rsidRDefault="00A40B4A" w:rsidP="005E5D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002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02C68">
              <w:rPr>
                <w:rFonts w:ascii="Arial" w:hAnsi="Arial" w:cs="Arial"/>
                <w:sz w:val="20"/>
                <w:szCs w:val="20"/>
              </w:rPr>
              <w:t>V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02C68">
              <w:rPr>
                <w:rFonts w:ascii="Arial" w:hAnsi="Arial" w:cs="Arial"/>
                <w:sz w:val="20"/>
                <w:szCs w:val="20"/>
              </w:rPr>
              <w:t>Gratificações de função</w:t>
            </w:r>
          </w:p>
        </w:tc>
        <w:tc>
          <w:tcPr>
            <w:tcW w:w="0" w:type="auto"/>
          </w:tcPr>
          <w:p w:rsidR="009D0643" w:rsidRDefault="00002C68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F35182">
              <w:rPr>
                <w:rFonts w:ascii="Arial" w:hAnsi="Arial" w:cs="Arial"/>
                <w:sz w:val="20"/>
                <w:szCs w:val="20"/>
              </w:rPr>
              <w:t>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10D81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10D81" w:rsidRDefault="00002C68" w:rsidP="00C10D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F35182">
              <w:rPr>
                <w:rFonts w:ascii="Arial" w:hAnsi="Arial" w:cs="Arial"/>
                <w:sz w:val="20"/>
                <w:szCs w:val="20"/>
              </w:rPr>
              <w:t>0</w:t>
            </w:r>
            <w:r w:rsidR="00CE41E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4527A0">
        <w:rPr>
          <w:rFonts w:ascii="Arial" w:hAnsi="Arial" w:cs="Arial"/>
          <w:sz w:val="20"/>
          <w:szCs w:val="20"/>
        </w:rPr>
        <w:t>tação de que trata o artigo 1</w:t>
      </w:r>
      <w:r w:rsidR="006B24E3">
        <w:rPr>
          <w:rFonts w:ascii="Arial" w:hAnsi="Arial" w:cs="Arial"/>
          <w:sz w:val="20"/>
          <w:szCs w:val="20"/>
        </w:rPr>
        <w:t>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F35182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4527A0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</w:t>
            </w:r>
            <w:r w:rsidR="004527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</w:t>
            </w:r>
            <w:r w:rsidR="004527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</w:t>
            </w:r>
            <w:r w:rsidR="004527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45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4527A0">
              <w:rPr>
                <w:rFonts w:ascii="Arial" w:hAnsi="Arial" w:cs="Arial"/>
                <w:sz w:val="20"/>
                <w:szCs w:val="20"/>
              </w:rPr>
              <w:t>Vencimento do p</w:t>
            </w:r>
            <w:r>
              <w:rPr>
                <w:rFonts w:ascii="Arial" w:hAnsi="Arial" w:cs="Arial"/>
                <w:sz w:val="20"/>
                <w:szCs w:val="20"/>
              </w:rPr>
              <w:t xml:space="preserve">essoal </w:t>
            </w:r>
            <w:r w:rsidR="004527A0">
              <w:rPr>
                <w:rFonts w:ascii="Arial" w:hAnsi="Arial" w:cs="Arial"/>
                <w:sz w:val="20"/>
                <w:szCs w:val="20"/>
              </w:rPr>
              <w:t>diarista</w:t>
            </w:r>
          </w:p>
        </w:tc>
        <w:tc>
          <w:tcPr>
            <w:tcW w:w="0" w:type="auto"/>
          </w:tcPr>
          <w:p w:rsidR="00A40B4A" w:rsidRDefault="004527A0" w:rsidP="00A40B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40B4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40B4A" w:rsidTr="00C9214D">
        <w:trPr>
          <w:jc w:val="center"/>
        </w:trPr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0B4A" w:rsidRDefault="00A40B4A" w:rsidP="00A40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40B4A" w:rsidRDefault="004527A0" w:rsidP="00A40B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40B4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527A0">
        <w:rPr>
          <w:rFonts w:ascii="Arial" w:hAnsi="Arial" w:cs="Arial"/>
          <w:sz w:val="20"/>
          <w:szCs w:val="20"/>
        </w:rPr>
        <w:t xml:space="preserve">retroagindo seus efeitos à data de 29 de novembro de 1968, </w:t>
      </w:r>
      <w:bookmarkStart w:id="0" w:name="_GoBack"/>
      <w:bookmarkEnd w:id="0"/>
      <w:r w:rsidR="00AA54A2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DEDCCB3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577AF-40A3-4E16-9F27-278AF33A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2019-07-18T19:44:00Z</dcterms:created>
  <dcterms:modified xsi:type="dcterms:W3CDTF">2019-07-18T19:48:00Z</dcterms:modified>
</cp:coreProperties>
</file>