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894F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87184E">
        <w:rPr>
          <w:rFonts w:ascii="Arial" w:hAnsi="Arial" w:cs="Arial"/>
          <w:b/>
          <w:sz w:val="20"/>
          <w:szCs w:val="20"/>
        </w:rPr>
        <w:t>3</w:t>
      </w:r>
      <w:r w:rsidR="00894F9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4F96">
        <w:rPr>
          <w:rFonts w:ascii="Arial" w:hAnsi="Arial" w:cs="Arial"/>
          <w:b/>
          <w:sz w:val="20"/>
          <w:szCs w:val="20"/>
        </w:rPr>
        <w:t>3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4F96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894F96" w:rsidP="008718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as contas da Comissão de que trata a Portaria nº 829/70.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0392" w:rsidRDefault="009243B3" w:rsidP="00894F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894F96">
        <w:rPr>
          <w:rFonts w:ascii="Arial" w:hAnsi="Arial" w:cs="Arial"/>
          <w:sz w:val="20"/>
          <w:szCs w:val="20"/>
        </w:rPr>
        <w:t>m aprovadas com base no relatório apresentado pela Comissão constituída pela Portaria nº 829/70, as contas referentes ao período de 28-08-70 a 12-11-71, da Comissão encarregada de administrar todos os bens e pertences atribuídos à futura Fundação Municipal de Cultura e Esportes de Ferraz de Vasconcelos.</w:t>
      </w:r>
    </w:p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812B45" w:rsidP="00894F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94F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94F9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894F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Depto. de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524" w:rsidRDefault="00E97524" w:rsidP="009243B3">
      <w:pPr>
        <w:spacing w:after="0" w:line="240" w:lineRule="auto"/>
      </w:pPr>
      <w:r>
        <w:separator/>
      </w:r>
    </w:p>
  </w:endnote>
  <w:endnote w:type="continuationSeparator" w:id="1">
    <w:p w:rsidR="00E97524" w:rsidRDefault="00E975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524" w:rsidRDefault="00E97524" w:rsidP="009243B3">
      <w:pPr>
        <w:spacing w:after="0" w:line="240" w:lineRule="auto"/>
      </w:pPr>
      <w:r>
        <w:separator/>
      </w:r>
    </w:p>
  </w:footnote>
  <w:footnote w:type="continuationSeparator" w:id="1">
    <w:p w:rsidR="00E97524" w:rsidRDefault="00E975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72EAD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97524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2019-03-09T14:07:00Z</dcterms:created>
  <dcterms:modified xsi:type="dcterms:W3CDTF">2019-03-09T14:10:00Z</dcterms:modified>
</cp:coreProperties>
</file>