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C1">
        <w:rPr>
          <w:rFonts w:ascii="Arial" w:hAnsi="Arial" w:cs="Arial"/>
          <w:b/>
          <w:sz w:val="20"/>
          <w:szCs w:val="20"/>
        </w:rPr>
        <w:t>1603</w:t>
      </w:r>
      <w:r w:rsidR="00DB7B96">
        <w:rPr>
          <w:rFonts w:ascii="Arial" w:hAnsi="Arial" w:cs="Arial"/>
          <w:b/>
          <w:sz w:val="20"/>
          <w:szCs w:val="20"/>
        </w:rPr>
        <w:t xml:space="preserve"> DE </w:t>
      </w:r>
      <w:r w:rsidR="003A2758">
        <w:rPr>
          <w:rFonts w:ascii="Arial" w:hAnsi="Arial" w:cs="Arial"/>
          <w:b/>
          <w:sz w:val="20"/>
          <w:szCs w:val="20"/>
        </w:rPr>
        <w:t>0</w:t>
      </w:r>
      <w:r w:rsidR="00C056C1">
        <w:rPr>
          <w:rFonts w:ascii="Arial" w:hAnsi="Arial" w:cs="Arial"/>
          <w:b/>
          <w:sz w:val="20"/>
          <w:szCs w:val="20"/>
        </w:rPr>
        <w:t>7</w:t>
      </w:r>
      <w:r w:rsidR="006D1347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56C1">
        <w:rPr>
          <w:rFonts w:ascii="Arial" w:hAnsi="Arial" w:cs="Arial"/>
          <w:b/>
          <w:sz w:val="20"/>
          <w:szCs w:val="20"/>
        </w:rPr>
        <w:t>NOVEM</w:t>
      </w:r>
      <w:r w:rsidR="00DB7B96">
        <w:rPr>
          <w:rFonts w:ascii="Arial" w:hAnsi="Arial" w:cs="Arial"/>
          <w:b/>
          <w:sz w:val="20"/>
          <w:szCs w:val="20"/>
        </w:rPr>
        <w:t>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  <w:r w:rsidR="00D139D5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1F4C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os lotes de terrenos que especifica</w:t>
      </w:r>
      <w:r w:rsidR="00D139D5">
        <w:rPr>
          <w:rFonts w:ascii="Arial" w:hAnsi="Arial" w:cs="Arial"/>
          <w:sz w:val="20"/>
          <w:szCs w:val="20"/>
        </w:rPr>
        <w:t>.</w:t>
      </w:r>
    </w:p>
    <w:p w:rsidR="009243B3" w:rsidRPr="00D139D5" w:rsidRDefault="00AB5903" w:rsidP="00D139D5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D139D5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D139D5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D139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4C69" w:rsidRDefault="009243B3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1F4C69">
        <w:rPr>
          <w:rFonts w:ascii="Arial" w:hAnsi="Arial" w:cs="Arial"/>
          <w:sz w:val="20"/>
          <w:szCs w:val="20"/>
        </w:rPr>
        <w:t>Ficam declarados de utilidade pública, para fins de desapropriação amigável ou judicial, os lotes nº</w:t>
      </w:r>
      <w:r w:rsidR="00D139D5">
        <w:rPr>
          <w:rFonts w:ascii="Arial" w:hAnsi="Arial" w:cs="Arial"/>
          <w:sz w:val="20"/>
          <w:szCs w:val="20"/>
        </w:rPr>
        <w:t xml:space="preserve"> </w:t>
      </w:r>
      <w:r w:rsidR="00C056C1">
        <w:rPr>
          <w:rFonts w:ascii="Arial" w:hAnsi="Arial" w:cs="Arial"/>
          <w:sz w:val="20"/>
          <w:szCs w:val="20"/>
        </w:rPr>
        <w:t>20 e 21,</w:t>
      </w:r>
      <w:r w:rsidR="001F4C69">
        <w:rPr>
          <w:rFonts w:ascii="Arial" w:hAnsi="Arial" w:cs="Arial"/>
          <w:sz w:val="20"/>
          <w:szCs w:val="20"/>
        </w:rPr>
        <w:t xml:space="preserve"> da quadra “</w:t>
      </w:r>
      <w:r w:rsidR="00C056C1">
        <w:rPr>
          <w:rFonts w:ascii="Arial" w:hAnsi="Arial" w:cs="Arial"/>
          <w:sz w:val="20"/>
          <w:szCs w:val="20"/>
        </w:rPr>
        <w:t>6</w:t>
      </w:r>
      <w:r w:rsidR="001F4C69">
        <w:rPr>
          <w:rFonts w:ascii="Arial" w:hAnsi="Arial" w:cs="Arial"/>
          <w:sz w:val="20"/>
          <w:szCs w:val="20"/>
        </w:rPr>
        <w:t xml:space="preserve">”, do loteamento denominado </w:t>
      </w:r>
      <w:r w:rsidR="00C056C1">
        <w:rPr>
          <w:rFonts w:ascii="Arial" w:hAnsi="Arial" w:cs="Arial"/>
          <w:sz w:val="20"/>
          <w:szCs w:val="20"/>
        </w:rPr>
        <w:t>Sitio do Paredão, zona u</w:t>
      </w:r>
      <w:r w:rsidR="001F4C69">
        <w:rPr>
          <w:rFonts w:ascii="Arial" w:hAnsi="Arial" w:cs="Arial"/>
          <w:sz w:val="20"/>
          <w:szCs w:val="20"/>
        </w:rPr>
        <w:t>rbana do Município, necessários</w:t>
      </w:r>
      <w:r w:rsidR="00C056C1">
        <w:rPr>
          <w:rFonts w:ascii="Arial" w:hAnsi="Arial" w:cs="Arial"/>
          <w:sz w:val="20"/>
          <w:szCs w:val="20"/>
        </w:rPr>
        <w:t xml:space="preserve"> ao prolongamento da Travessa Campos Salles, até a rua 14 de Outubro,</w:t>
      </w:r>
      <w:r w:rsidR="001F4C69">
        <w:rPr>
          <w:rFonts w:ascii="Arial" w:hAnsi="Arial" w:cs="Arial"/>
          <w:sz w:val="20"/>
          <w:szCs w:val="20"/>
        </w:rPr>
        <w:t xml:space="preserve"> cujos lotes encerram uma área de </w:t>
      </w:r>
      <w:r w:rsidR="00C056C1">
        <w:rPr>
          <w:rFonts w:ascii="Arial" w:hAnsi="Arial" w:cs="Arial"/>
          <w:sz w:val="20"/>
          <w:szCs w:val="20"/>
        </w:rPr>
        <w:t>611,50</w:t>
      </w:r>
      <w:r w:rsidR="001F4C69">
        <w:rPr>
          <w:rFonts w:ascii="Arial" w:hAnsi="Arial" w:cs="Arial"/>
          <w:sz w:val="20"/>
          <w:szCs w:val="20"/>
        </w:rPr>
        <w:t xml:space="preserve"> metros quadrados</w:t>
      </w:r>
      <w:r w:rsidR="00C056C1">
        <w:rPr>
          <w:rFonts w:ascii="Arial" w:hAnsi="Arial" w:cs="Arial"/>
          <w:sz w:val="20"/>
          <w:szCs w:val="20"/>
        </w:rPr>
        <w:t xml:space="preserve"> (seiscentos e onze metros e cinquenta centímetros quadrados)</w:t>
      </w:r>
      <w:r w:rsidR="001F4C69">
        <w:rPr>
          <w:rFonts w:ascii="Arial" w:hAnsi="Arial" w:cs="Arial"/>
          <w:sz w:val="20"/>
          <w:szCs w:val="20"/>
        </w:rPr>
        <w:t>. Ditos lotes conforme memorial descritivo que ficam fazendo parte integrante deste Decreto, assim se descrevem:</w:t>
      </w: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C69" w:rsidRDefault="00C056C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 “6</w:t>
      </w:r>
      <w:r w:rsidR="001F4C69">
        <w:rPr>
          <w:rFonts w:ascii="Arial" w:hAnsi="Arial" w:cs="Arial"/>
          <w:sz w:val="20"/>
          <w:szCs w:val="20"/>
        </w:rPr>
        <w:t>”</w:t>
      </w: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C056C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(</w:t>
      </w:r>
      <w:r w:rsidR="00C056C1">
        <w:rPr>
          <w:rFonts w:ascii="Arial" w:hAnsi="Arial" w:cs="Arial"/>
          <w:sz w:val="20"/>
          <w:szCs w:val="20"/>
        </w:rPr>
        <w:t>vinte</w:t>
      </w:r>
      <w:r>
        <w:rPr>
          <w:rFonts w:ascii="Arial" w:hAnsi="Arial" w:cs="Arial"/>
          <w:sz w:val="20"/>
          <w:szCs w:val="20"/>
        </w:rPr>
        <w:t xml:space="preserve">), </w:t>
      </w:r>
      <w:r w:rsidR="00C056C1">
        <w:rPr>
          <w:rFonts w:ascii="Arial" w:hAnsi="Arial" w:cs="Arial"/>
          <w:sz w:val="20"/>
          <w:szCs w:val="20"/>
        </w:rPr>
        <w:t>10,00 metros de frente para a Rua 14 de Outubro, nos fundos mede 17,40 metros, da frente aos fundos dividindo com o lote 19, mede 41,60 metros e da frente aos fundos, dividindo com o lote 21, mede 41,90 metros, encerrando uma área de 588,25 metros quadrados, que consta pertencer a SATAR o Albertina Assenção Eleutério.</w:t>
      </w:r>
    </w:p>
    <w:p w:rsidR="00C056C1" w:rsidRDefault="00C056C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C1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C056C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</w:t>
      </w:r>
      <w:r w:rsidR="00C056C1">
        <w:rPr>
          <w:rFonts w:ascii="Arial" w:hAnsi="Arial" w:cs="Arial"/>
          <w:sz w:val="20"/>
          <w:szCs w:val="20"/>
        </w:rPr>
        <w:t>(vinte e um</w:t>
      </w:r>
      <w:r>
        <w:rPr>
          <w:rFonts w:ascii="Arial" w:hAnsi="Arial" w:cs="Arial"/>
          <w:sz w:val="20"/>
          <w:szCs w:val="20"/>
        </w:rPr>
        <w:t xml:space="preserve">), </w:t>
      </w:r>
      <w:r w:rsidR="00C056C1">
        <w:rPr>
          <w:rFonts w:ascii="Arial" w:hAnsi="Arial" w:cs="Arial"/>
          <w:sz w:val="20"/>
          <w:szCs w:val="20"/>
        </w:rPr>
        <w:t>terreno em forma de triangulo, mede 3,00 metros de frente para a Rua 14 de Outubro, da frente aos fundos, dividindo com o lote 20, mede 15,50 meros e do outro lado com o mesmo lote 20 mede 15,80 metros, cujo terreno, encerra uma área de 23,25 metros quadrados, que consta pertencer a SATAR o José Rodrigues Oliveira.</w:t>
      </w:r>
    </w:p>
    <w:p w:rsidR="00C056C1" w:rsidRDefault="00C056C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3E7D91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9243B3" w:rsidRPr="00A92F50">
        <w:rPr>
          <w:rFonts w:ascii="Arial" w:hAnsi="Arial" w:cs="Arial"/>
          <w:b/>
          <w:sz w:val="20"/>
          <w:szCs w:val="20"/>
        </w:rPr>
        <w:t>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A desapropriação de que trata o artigo anterior é declarada de natureza urgente, para os efeitos do artigo 15, do Decreto Lei nº</w:t>
      </w:r>
      <w:r w:rsidR="00D139D5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3365, de 21 de junho de 1941, alterado pela Lei nº</w:t>
      </w:r>
      <w:r w:rsidR="00D139D5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2786, de 21 de maio de 1956.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7B9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As despesas decorrentes deste Decreto correrão à conta do crédit</w:t>
      </w:r>
      <w:r w:rsidR="001D5825">
        <w:rPr>
          <w:rFonts w:ascii="Arial" w:hAnsi="Arial" w:cs="Arial"/>
          <w:sz w:val="20"/>
          <w:szCs w:val="20"/>
        </w:rPr>
        <w:t>o especial previsto na Lei nº</w:t>
      </w:r>
      <w:r w:rsidR="00D139D5">
        <w:rPr>
          <w:rFonts w:ascii="Arial" w:hAnsi="Arial" w:cs="Arial"/>
          <w:sz w:val="20"/>
          <w:szCs w:val="20"/>
        </w:rPr>
        <w:t xml:space="preserve"> </w:t>
      </w:r>
      <w:r w:rsidR="001D5825">
        <w:rPr>
          <w:rFonts w:ascii="Arial" w:hAnsi="Arial" w:cs="Arial"/>
          <w:sz w:val="20"/>
          <w:szCs w:val="20"/>
        </w:rPr>
        <w:t>881</w:t>
      </w:r>
      <w:r w:rsidR="00EB1BFC">
        <w:rPr>
          <w:rFonts w:ascii="Arial" w:hAnsi="Arial" w:cs="Arial"/>
          <w:sz w:val="20"/>
          <w:szCs w:val="20"/>
        </w:rPr>
        <w:t xml:space="preserve">, de </w:t>
      </w:r>
      <w:r w:rsidR="001D5825">
        <w:rPr>
          <w:rFonts w:ascii="Arial" w:hAnsi="Arial" w:cs="Arial"/>
          <w:sz w:val="20"/>
          <w:szCs w:val="20"/>
        </w:rPr>
        <w:t>05</w:t>
      </w:r>
      <w:r w:rsidR="00EB1BFC">
        <w:rPr>
          <w:rFonts w:ascii="Arial" w:hAnsi="Arial" w:cs="Arial"/>
          <w:sz w:val="20"/>
          <w:szCs w:val="20"/>
        </w:rPr>
        <w:t xml:space="preserve"> de </w:t>
      </w:r>
      <w:r w:rsidR="001D5825">
        <w:rPr>
          <w:rFonts w:ascii="Arial" w:hAnsi="Arial" w:cs="Arial"/>
          <w:sz w:val="20"/>
          <w:szCs w:val="20"/>
        </w:rPr>
        <w:t>novem</w:t>
      </w:r>
      <w:r w:rsidR="00EB1BFC">
        <w:rPr>
          <w:rFonts w:ascii="Arial" w:hAnsi="Arial" w:cs="Arial"/>
          <w:sz w:val="20"/>
          <w:szCs w:val="20"/>
        </w:rPr>
        <w:t>bro de 1974</w:t>
      </w:r>
      <w:r>
        <w:rPr>
          <w:rFonts w:ascii="Arial" w:hAnsi="Arial" w:cs="Arial"/>
          <w:sz w:val="20"/>
          <w:szCs w:val="20"/>
        </w:rPr>
        <w:t>.</w:t>
      </w: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EB1BFC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1BF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B1BFC" w:rsidRDefault="00EB1B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1BFC" w:rsidRDefault="00EB1B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A2758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1D5825">
        <w:rPr>
          <w:rFonts w:ascii="Arial" w:hAnsi="Arial" w:cs="Arial"/>
          <w:sz w:val="20"/>
          <w:szCs w:val="20"/>
        </w:rPr>
        <w:t>7</w:t>
      </w:r>
      <w:r w:rsidR="00A01070">
        <w:rPr>
          <w:rFonts w:ascii="Arial" w:hAnsi="Arial" w:cs="Arial"/>
          <w:sz w:val="20"/>
          <w:szCs w:val="20"/>
        </w:rPr>
        <w:t xml:space="preserve"> de </w:t>
      </w:r>
      <w:r w:rsidR="001D5825">
        <w:rPr>
          <w:rFonts w:ascii="Arial" w:hAnsi="Arial" w:cs="Arial"/>
          <w:sz w:val="20"/>
          <w:szCs w:val="20"/>
        </w:rPr>
        <w:t>novem</w:t>
      </w:r>
      <w:r w:rsidR="00DB7B96">
        <w:rPr>
          <w:rFonts w:ascii="Arial" w:hAnsi="Arial" w:cs="Arial"/>
          <w:sz w:val="20"/>
          <w:szCs w:val="20"/>
        </w:rPr>
        <w:t xml:space="preserve">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8374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68" w:rsidRDefault="008B6068" w:rsidP="009243B3">
      <w:pPr>
        <w:spacing w:after="0" w:line="240" w:lineRule="auto"/>
      </w:pPr>
      <w:r>
        <w:separator/>
      </w:r>
    </w:p>
  </w:endnote>
  <w:endnote w:type="continuationSeparator" w:id="0">
    <w:p w:rsidR="008B6068" w:rsidRDefault="008B60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68" w:rsidRDefault="008B6068" w:rsidP="009243B3">
      <w:pPr>
        <w:spacing w:after="0" w:line="240" w:lineRule="auto"/>
      </w:pPr>
      <w:r>
        <w:separator/>
      </w:r>
    </w:p>
  </w:footnote>
  <w:footnote w:type="continuationSeparator" w:id="0">
    <w:p w:rsidR="008B6068" w:rsidRDefault="008B60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02A9"/>
    <w:rsid w:val="001114BE"/>
    <w:rsid w:val="001558C2"/>
    <w:rsid w:val="001B1430"/>
    <w:rsid w:val="001B4049"/>
    <w:rsid w:val="001B4180"/>
    <w:rsid w:val="001D5825"/>
    <w:rsid w:val="001F4C69"/>
    <w:rsid w:val="0020285B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A2758"/>
    <w:rsid w:val="003B69F7"/>
    <w:rsid w:val="003D26EC"/>
    <w:rsid w:val="003E7D91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058E"/>
    <w:rsid w:val="0054202D"/>
    <w:rsid w:val="00557F9D"/>
    <w:rsid w:val="0056537F"/>
    <w:rsid w:val="0058557D"/>
    <w:rsid w:val="00604C00"/>
    <w:rsid w:val="00606CDF"/>
    <w:rsid w:val="00632152"/>
    <w:rsid w:val="00644BAE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374E4"/>
    <w:rsid w:val="00866658"/>
    <w:rsid w:val="00867E20"/>
    <w:rsid w:val="008900A2"/>
    <w:rsid w:val="008B2AF1"/>
    <w:rsid w:val="008B6068"/>
    <w:rsid w:val="00901881"/>
    <w:rsid w:val="009243B3"/>
    <w:rsid w:val="00930B4B"/>
    <w:rsid w:val="00936765"/>
    <w:rsid w:val="00960133"/>
    <w:rsid w:val="00996B3C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96DA0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56C1"/>
    <w:rsid w:val="00C0717D"/>
    <w:rsid w:val="00CC6438"/>
    <w:rsid w:val="00CD1337"/>
    <w:rsid w:val="00CE6FF1"/>
    <w:rsid w:val="00CF1582"/>
    <w:rsid w:val="00D139D5"/>
    <w:rsid w:val="00D26CDD"/>
    <w:rsid w:val="00D71FCE"/>
    <w:rsid w:val="00D94EA8"/>
    <w:rsid w:val="00DB7B96"/>
    <w:rsid w:val="00E36B20"/>
    <w:rsid w:val="00E61612"/>
    <w:rsid w:val="00E66E96"/>
    <w:rsid w:val="00E91514"/>
    <w:rsid w:val="00EB1BFC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2019-04-09T16:28:00Z</dcterms:created>
  <dcterms:modified xsi:type="dcterms:W3CDTF">2019-05-17T12:22:00Z</dcterms:modified>
</cp:coreProperties>
</file>