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E53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62</w:t>
      </w:r>
      <w:r w:rsidR="00C61DD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5375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E537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7106" w:rsidP="006E53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5375">
        <w:rPr>
          <w:rFonts w:ascii="Arial" w:hAnsi="Arial" w:cs="Arial"/>
          <w:sz w:val="20"/>
          <w:szCs w:val="20"/>
        </w:rPr>
        <w:t>aplicação de correção monetária dos débitos fiscais, por força do artigo 51 § 2º, da Lei nº 849/73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6E53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E5375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E5375">
        <w:rPr>
          <w:rFonts w:ascii="Arial" w:hAnsi="Arial" w:cs="Arial"/>
          <w:sz w:val="20"/>
          <w:szCs w:val="20"/>
        </w:rPr>
        <w:t>A aplicação dos coeficientes para correção monetária dos débitos fiscais, com vigência para o primeiro trimestre civil de 1975, serão corrigidos e cobrados de acordo com a tabela anexa, fornecida pela Coletoria Federal de Poá.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 w:rsidR="001C4476">
        <w:rPr>
          <w:rFonts w:ascii="Arial" w:hAnsi="Arial" w:cs="Arial"/>
          <w:sz w:val="20"/>
          <w:szCs w:val="20"/>
        </w:rPr>
        <w:t xml:space="preserve"> </w:t>
      </w:r>
      <w:r w:rsidR="006E5375">
        <w:rPr>
          <w:rFonts w:ascii="Arial" w:hAnsi="Arial" w:cs="Arial"/>
          <w:sz w:val="20"/>
          <w:szCs w:val="20"/>
        </w:rPr>
        <w:t>retroagindo seus efeitos à data de 1º de janeiro de 1975.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537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E537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E53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C5" w:rsidRDefault="00571DC5" w:rsidP="009243B3">
      <w:pPr>
        <w:spacing w:after="0" w:line="240" w:lineRule="auto"/>
      </w:pPr>
      <w:r>
        <w:separator/>
      </w:r>
    </w:p>
  </w:endnote>
  <w:endnote w:type="continuationSeparator" w:id="1">
    <w:p w:rsidR="00571DC5" w:rsidRDefault="00571D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C5" w:rsidRDefault="00571DC5" w:rsidP="009243B3">
      <w:pPr>
        <w:spacing w:after="0" w:line="240" w:lineRule="auto"/>
      </w:pPr>
      <w:r>
        <w:separator/>
      </w:r>
    </w:p>
  </w:footnote>
  <w:footnote w:type="continuationSeparator" w:id="1">
    <w:p w:rsidR="00571DC5" w:rsidRDefault="00571D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71DC5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2019-03-15T10:08:00Z</dcterms:created>
  <dcterms:modified xsi:type="dcterms:W3CDTF">2019-03-15T10:12:00Z</dcterms:modified>
</cp:coreProperties>
</file>