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D01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8B3DA2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D63A76">
        <w:rPr>
          <w:rFonts w:ascii="Arial" w:hAnsi="Arial" w:cs="Arial"/>
          <w:b/>
          <w:sz w:val="20"/>
          <w:szCs w:val="20"/>
        </w:rPr>
        <w:t>2</w:t>
      </w:r>
      <w:r w:rsidR="007D01D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7D01D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7B3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7D01D5" w:rsidP="00FD7B3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normas de cálculo para apuração do valor venal dos terrenos e das construções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7136" w:rsidRDefault="003E0186" w:rsidP="00F127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  <w:r w:rsidR="00FD7B31">
        <w:rPr>
          <w:rFonts w:ascii="Arial" w:hAnsi="Arial" w:cs="Arial"/>
          <w:b/>
          <w:sz w:val="20"/>
          <w:szCs w:val="20"/>
        </w:rPr>
        <w:t xml:space="preserve"> NA FORMA DO ARTIGO 39, Nº V, DO DECRETO-LEI COMPLEMENT</w:t>
      </w:r>
      <w:r w:rsidR="008B3DA2">
        <w:rPr>
          <w:rFonts w:ascii="Arial" w:hAnsi="Arial" w:cs="Arial"/>
          <w:b/>
          <w:sz w:val="20"/>
          <w:szCs w:val="20"/>
        </w:rPr>
        <w:t>AR Nº 9, DE 31 DE DEZEMBRO DE 1</w:t>
      </w:r>
      <w:r w:rsidR="00FD7B31">
        <w:rPr>
          <w:rFonts w:ascii="Arial" w:hAnsi="Arial" w:cs="Arial"/>
          <w:b/>
          <w:sz w:val="20"/>
          <w:szCs w:val="20"/>
        </w:rPr>
        <w:t xml:space="preserve">969, </w:t>
      </w:r>
      <w:r w:rsidR="007D01D5">
        <w:rPr>
          <w:rFonts w:ascii="Arial" w:hAnsi="Arial" w:cs="Arial"/>
          <w:b/>
          <w:sz w:val="20"/>
          <w:szCs w:val="20"/>
        </w:rPr>
        <w:t xml:space="preserve">E </w:t>
      </w:r>
    </w:p>
    <w:p w:rsidR="006E7136" w:rsidRDefault="006E7136" w:rsidP="00F127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6D75" w:rsidRPr="006E7136" w:rsidRDefault="007D01D5" w:rsidP="00F127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136">
        <w:rPr>
          <w:rFonts w:ascii="Arial" w:hAnsi="Arial" w:cs="Arial"/>
          <w:sz w:val="20"/>
          <w:szCs w:val="20"/>
        </w:rPr>
        <w:t>CONSIDERANDO O QUE CONSTA DO PROCESSO Nº 4026/80-PG.,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768" w:rsidRDefault="009243B3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D01D5">
        <w:rPr>
          <w:rFonts w:ascii="Arial" w:hAnsi="Arial" w:cs="Arial"/>
          <w:sz w:val="20"/>
          <w:szCs w:val="20"/>
        </w:rPr>
        <w:t xml:space="preserve">Fica adotado para o </w:t>
      </w:r>
      <w:r w:rsidR="008B3DA2">
        <w:rPr>
          <w:rFonts w:ascii="Arial" w:hAnsi="Arial" w:cs="Arial"/>
          <w:sz w:val="20"/>
          <w:szCs w:val="20"/>
        </w:rPr>
        <w:t>exercício de 1</w:t>
      </w:r>
      <w:r w:rsidR="007D01D5">
        <w:rPr>
          <w:rFonts w:ascii="Arial" w:hAnsi="Arial" w:cs="Arial"/>
          <w:sz w:val="20"/>
          <w:szCs w:val="20"/>
        </w:rPr>
        <w:t>981, os índices genéricos de calores de terrenos e de construções constantes da planta e das tabelas anexas.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valor de cada terreno será obtido pela multiplicação de sua área pelo valor base do metro quadrado fixado na planta para a profundidade padrão e, ainda pelos fatores de correção constantes das tabelas anexas ao presente Decreto.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Da área total de cada terreno será desprezada qualquer fração de metro quadrado.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Nos terrenos de forma acentuadamente irregular em que o fator de profundidade não constitua meio hábil para apurar o justo valor, será adotada a fórmula Harper-Berrini, representada pela seguinte equação: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VT= V </w:t>
      </w:r>
      <w:proofErr w:type="gramStart"/>
      <w:r>
        <w:rPr>
          <w:rFonts w:ascii="Arial" w:hAnsi="Arial" w:cs="Arial"/>
          <w:sz w:val="20"/>
          <w:szCs w:val="20"/>
        </w:rPr>
        <w:t>s(</w:t>
      </w:r>
      <w:proofErr w:type="gramEnd"/>
      <w:r>
        <w:rPr>
          <w:rFonts w:ascii="Arial" w:hAnsi="Arial" w:cs="Arial"/>
          <w:sz w:val="20"/>
          <w:szCs w:val="20"/>
        </w:rPr>
        <w:t>a1xv²1xp+a2xv²2xp+ ... + na x v²nxp)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Onde: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VT- Valor do terreno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S= área do terreno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A,a..</w:t>
      </w:r>
      <w:proofErr w:type="spellStart"/>
      <w:r>
        <w:rPr>
          <w:rFonts w:ascii="Arial" w:hAnsi="Arial" w:cs="Arial"/>
          <w:sz w:val="20"/>
          <w:szCs w:val="20"/>
        </w:rPr>
        <w:t>an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= frentes do terreno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V1 V2...</w:t>
      </w:r>
      <w:proofErr w:type="spellStart"/>
      <w:r>
        <w:rPr>
          <w:rFonts w:ascii="Arial" w:hAnsi="Arial" w:cs="Arial"/>
          <w:sz w:val="20"/>
          <w:szCs w:val="20"/>
        </w:rPr>
        <w:t>Vn</w:t>
      </w:r>
      <w:proofErr w:type="spellEnd"/>
      <w:r>
        <w:rPr>
          <w:rFonts w:ascii="Arial" w:hAnsi="Arial" w:cs="Arial"/>
          <w:sz w:val="20"/>
          <w:szCs w:val="20"/>
        </w:rPr>
        <w:t xml:space="preserve"> – Valores base unitário por metro quadrado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P= profundidade padrão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profundidade padrão a que se refere o artigo 2º fica fixada em 25 metros lineares.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Nos terrenos de mais de uma frente serão considerados os valores de cada uma das frentes até a metade da profundidade equivalente.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regra do presente artigo não se aplica aos terrenos de esquina.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Nas passagens para pedestres, serão considerados os valores base do logradouro que lhe der acesso com 50% (</w:t>
      </w:r>
      <w:r w:rsidR="008B3DA2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de redução, salvo quando constar valor na planta genérica de valores.</w:t>
      </w: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1D5" w:rsidRDefault="007D01D5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lotes com frente para ruas ou passagens particulares, terão suas áreas acrescidas de uma parte ideal, correspondente às áreas dessas passagens </w:t>
      </w:r>
      <w:r w:rsidR="009F224F">
        <w:rPr>
          <w:rFonts w:ascii="Arial" w:hAnsi="Arial" w:cs="Arial"/>
          <w:sz w:val="20"/>
          <w:szCs w:val="20"/>
        </w:rPr>
        <w:t>ou ruas e das áreas destinada a retorno e proporcionalmente às áreas dos respectivos lotes.</w:t>
      </w:r>
    </w:p>
    <w:p w:rsidR="009F224F" w:rsidRDefault="009F224F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24F" w:rsidRDefault="009F224F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No cálculo do valor dos terrenos serão aplicados os seguintes fatores de correção:</w:t>
      </w:r>
    </w:p>
    <w:p w:rsidR="009F224F" w:rsidRDefault="009F224F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24F" w:rsidRDefault="009F224F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Gleba</w:t>
      </w:r>
    </w:p>
    <w:p w:rsidR="009F224F" w:rsidRDefault="009F224F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lastRenderedPageBreak/>
        <w:t>b)</w:t>
      </w:r>
      <w:r>
        <w:rPr>
          <w:rFonts w:ascii="Arial" w:hAnsi="Arial" w:cs="Arial"/>
          <w:sz w:val="20"/>
          <w:szCs w:val="20"/>
        </w:rPr>
        <w:t xml:space="preserve"> Profundidade</w:t>
      </w:r>
    </w:p>
    <w:p w:rsidR="009F224F" w:rsidRDefault="009F224F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Esquina</w:t>
      </w:r>
    </w:p>
    <w:p w:rsidR="009F224F" w:rsidRDefault="009F224F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Vizinhança de Córrego</w:t>
      </w:r>
    </w:p>
    <w:p w:rsidR="009F224F" w:rsidRDefault="009F224F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24F" w:rsidRDefault="0066228B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</w:t>
      </w:r>
      <w:r w:rsidR="009F224F" w:rsidRPr="0066228B">
        <w:rPr>
          <w:rFonts w:ascii="Arial" w:hAnsi="Arial" w:cs="Arial"/>
          <w:b/>
          <w:bCs/>
          <w:sz w:val="20"/>
          <w:szCs w:val="20"/>
        </w:rPr>
        <w:t>rt. 9º</w:t>
      </w:r>
      <w:r w:rsidR="009F224F">
        <w:rPr>
          <w:rFonts w:ascii="Arial" w:hAnsi="Arial" w:cs="Arial"/>
          <w:sz w:val="20"/>
          <w:szCs w:val="20"/>
        </w:rPr>
        <w:t xml:space="preserve"> Os valores atribuídos aos fatores de correção de que trata o artigo anterior, serão os constantes das tabelas </w:t>
      </w:r>
      <w:proofErr w:type="spellStart"/>
      <w:r w:rsidR="009F224F">
        <w:rPr>
          <w:rFonts w:ascii="Arial" w:hAnsi="Arial" w:cs="Arial"/>
          <w:sz w:val="20"/>
          <w:szCs w:val="20"/>
        </w:rPr>
        <w:t>nºs</w:t>
      </w:r>
      <w:proofErr w:type="spellEnd"/>
      <w:r w:rsidR="009F224F">
        <w:rPr>
          <w:rFonts w:ascii="Arial" w:hAnsi="Arial" w:cs="Arial"/>
          <w:sz w:val="20"/>
          <w:szCs w:val="20"/>
        </w:rPr>
        <w:t xml:space="preserve"> I, II, III, e IV, anexas a este Decreto.</w:t>
      </w:r>
    </w:p>
    <w:p w:rsidR="009F224F" w:rsidRDefault="009F224F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24F" w:rsidRDefault="009F224F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</w:t>
      </w:r>
      <w:r w:rsidR="00621398">
        <w:rPr>
          <w:rFonts w:ascii="Arial" w:hAnsi="Arial" w:cs="Arial"/>
          <w:sz w:val="20"/>
          <w:szCs w:val="20"/>
        </w:rPr>
        <w:t>Havendo incidência demais de 1 fator de correção sobre o terreno, será aplicado no cálculo de seu valor o produto dos fatores incidentes.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fator gleba será aplicado aos terrenos com área igual ou superior a 14.000 metros quadrados, cuja profundidade equivalente seja igual ou superior a 60 metros lineares.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aplicação do fator gleba exclui a aplicação dos demais fatores de correção.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fator profundidade dos terrenos será obtido em função de sua profundidade equivalente, que corresponde ao quociente da divisa de sua área pela extensão das frentes.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Nos termos de esquina será considerada a profundidade equivalente, obtida pela divisão da área do terreno pela maior frente.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regra deste artigo não se aplica às esquinas de zonas mistas ou residenciais em que será considerada a profundidade padrão obtida pela divisão da área real do lote.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 xml:space="preserve">Nas esquinas serão consideradas frentes, as metragens entre a </w:t>
      </w:r>
      <w:r w:rsidR="008B3DA2">
        <w:rPr>
          <w:rFonts w:ascii="Arial" w:hAnsi="Arial" w:cs="Arial"/>
          <w:sz w:val="20"/>
          <w:szCs w:val="20"/>
        </w:rPr>
        <w:t>dívida</w:t>
      </w:r>
      <w:r>
        <w:rPr>
          <w:rFonts w:ascii="Arial" w:hAnsi="Arial" w:cs="Arial"/>
          <w:sz w:val="20"/>
          <w:szCs w:val="20"/>
        </w:rPr>
        <w:t xml:space="preserve"> do terreno com o lote vizinho até o ponto de interseção das frentes.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Para obtenção do valor venal dos lotes de esquina, será aplicada a profundidade equivalente obtida pela aplicação dos critérios estabelecidos no artigo anterior, considerado, porém, o valor base da via de maior valor.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Aos terrenos de esquina será aplicado o fator de correção equivalente a 1,20.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As áreas encravadas serão consideradas como fundos de áreas ideais determinadas pela projeção das divisas laterais da área até o alinhamento do logradouro mais próximo.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Serão consideradas também áreas encravadas as que possuírem frente para a via pública inferir a 1% do total de sua área.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Aos terrenos que margearem córregos, será aplicado o fator de correção constantes da tabela anexa nº IV, em relação à sua profundidade equivalente, obtida pela divisão de sua área pela metragem da face ou faces que margearem o córrego.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face para o córrego será determinada por um segmento de reta entre os limites das laterais do imóvel.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O valor da edificação será o produto da área construída pelo valor unitário do metro quadrado correspondente ao tipo de construção e, ainda, pelo fator de </w:t>
      </w:r>
      <w:proofErr w:type="spellStart"/>
      <w:r>
        <w:rPr>
          <w:rFonts w:ascii="Arial" w:hAnsi="Arial" w:cs="Arial"/>
          <w:sz w:val="20"/>
          <w:szCs w:val="20"/>
        </w:rPr>
        <w:t>obsolência</w:t>
      </w:r>
      <w:proofErr w:type="spellEnd"/>
      <w:r>
        <w:rPr>
          <w:rFonts w:ascii="Arial" w:hAnsi="Arial" w:cs="Arial"/>
          <w:sz w:val="20"/>
          <w:szCs w:val="20"/>
        </w:rPr>
        <w:t>, constante da tabela V.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Do total das áreas construídas serão desprezadas as frações de metro quadrado.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Para a determinação do valor unitário das áreas construídas, as edificações deverão ser enquadradas em um dos tipos de construção constantes da tabela VI anexa.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enquadramento de que trata este artigo será feito em função do maior número de características das edificações com as dos tipos mencionados na tabela.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O valor unitário correspondente a cada tipo de construção será considerado o valor médio da edificação e abrangerá todas as peças da mesma.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22.</w:t>
      </w:r>
      <w:r>
        <w:rPr>
          <w:rFonts w:ascii="Arial" w:hAnsi="Arial" w:cs="Arial"/>
          <w:sz w:val="20"/>
          <w:szCs w:val="20"/>
        </w:rPr>
        <w:t xml:space="preserve"> O fator de </w:t>
      </w:r>
      <w:proofErr w:type="spellStart"/>
      <w:r>
        <w:rPr>
          <w:rFonts w:ascii="Arial" w:hAnsi="Arial" w:cs="Arial"/>
          <w:sz w:val="20"/>
          <w:szCs w:val="20"/>
        </w:rPr>
        <w:t>obsolência</w:t>
      </w:r>
      <w:proofErr w:type="spellEnd"/>
      <w:r>
        <w:rPr>
          <w:rFonts w:ascii="Arial" w:hAnsi="Arial" w:cs="Arial"/>
          <w:sz w:val="20"/>
          <w:szCs w:val="20"/>
        </w:rPr>
        <w:t xml:space="preserve"> será determinado pela idade da edificação de acordo com a tabela nº V anexa.</w:t>
      </w: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398" w:rsidRDefault="00621398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Quando a edificação sofrer processo de reforma que implique em aumento da sua capacidade de utilização ou enq</w:t>
      </w:r>
      <w:r w:rsidR="00C37569">
        <w:rPr>
          <w:rFonts w:ascii="Arial" w:hAnsi="Arial" w:cs="Arial"/>
          <w:sz w:val="20"/>
          <w:szCs w:val="20"/>
        </w:rPr>
        <w:t xml:space="preserve">uadramento de tipo padrão superior ao que vinha sendo utilizado, o fator de </w:t>
      </w:r>
      <w:proofErr w:type="spellStart"/>
      <w:r w:rsidR="00C37569">
        <w:rPr>
          <w:rFonts w:ascii="Arial" w:hAnsi="Arial" w:cs="Arial"/>
          <w:sz w:val="20"/>
          <w:szCs w:val="20"/>
        </w:rPr>
        <w:t>obsolência</w:t>
      </w:r>
      <w:proofErr w:type="spellEnd"/>
      <w:r w:rsidR="00C37569">
        <w:rPr>
          <w:rFonts w:ascii="Arial" w:hAnsi="Arial" w:cs="Arial"/>
          <w:sz w:val="20"/>
          <w:szCs w:val="20"/>
        </w:rPr>
        <w:t xml:space="preserve"> passará a ser contado novamente a partir do ano em que se der a reforma.</w:t>
      </w:r>
    </w:p>
    <w:p w:rsidR="00C37569" w:rsidRDefault="00C37569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7569" w:rsidRDefault="00C37569" w:rsidP="007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28B">
        <w:rPr>
          <w:rFonts w:ascii="Arial" w:hAnsi="Arial" w:cs="Arial"/>
          <w:b/>
          <w:bCs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Poderá ser adotado, a critério do Prefeito, e mediante representação, classificação especial para tipos de edificação que não se enquadrem em um dos tipos padrão constantes da Tabela VI.</w:t>
      </w:r>
    </w:p>
    <w:p w:rsidR="00BE3EDB" w:rsidRDefault="00BE3EDB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E3EDB" w:rsidP="00C375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37569">
        <w:rPr>
          <w:rFonts w:ascii="Arial" w:hAnsi="Arial" w:cs="Arial"/>
          <w:b/>
          <w:bCs/>
          <w:sz w:val="20"/>
          <w:szCs w:val="20"/>
        </w:rPr>
        <w:t>24.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C37569">
        <w:rPr>
          <w:rFonts w:ascii="Arial" w:hAnsi="Arial" w:cs="Arial"/>
          <w:sz w:val="20"/>
          <w:szCs w:val="20"/>
        </w:rPr>
        <w:t>a partir de 1º de janeiro de 1.981,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375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37569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7B3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B0" w:rsidRDefault="004849B0" w:rsidP="009243B3">
      <w:pPr>
        <w:spacing w:after="0" w:line="240" w:lineRule="auto"/>
      </w:pPr>
      <w:r>
        <w:separator/>
      </w:r>
    </w:p>
  </w:endnote>
  <w:endnote w:type="continuationSeparator" w:id="0">
    <w:p w:rsidR="004849B0" w:rsidRDefault="004849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B0" w:rsidRDefault="004849B0" w:rsidP="009243B3">
      <w:pPr>
        <w:spacing w:after="0" w:line="240" w:lineRule="auto"/>
      </w:pPr>
      <w:r>
        <w:separator/>
      </w:r>
    </w:p>
  </w:footnote>
  <w:footnote w:type="continuationSeparator" w:id="0">
    <w:p w:rsidR="004849B0" w:rsidRDefault="004849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05E98"/>
    <w:rsid w:val="00426BD2"/>
    <w:rsid w:val="0043208A"/>
    <w:rsid w:val="0043273F"/>
    <w:rsid w:val="00433FF1"/>
    <w:rsid w:val="00441B6A"/>
    <w:rsid w:val="00446B43"/>
    <w:rsid w:val="00467675"/>
    <w:rsid w:val="0047536D"/>
    <w:rsid w:val="00476F7F"/>
    <w:rsid w:val="004824F7"/>
    <w:rsid w:val="004849B0"/>
    <w:rsid w:val="00490571"/>
    <w:rsid w:val="004A5271"/>
    <w:rsid w:val="004B3B3B"/>
    <w:rsid w:val="004B64B3"/>
    <w:rsid w:val="004E1BD8"/>
    <w:rsid w:val="004F0B5F"/>
    <w:rsid w:val="004F341C"/>
    <w:rsid w:val="00520DF2"/>
    <w:rsid w:val="00531E2A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5E72D9"/>
    <w:rsid w:val="00607780"/>
    <w:rsid w:val="00614048"/>
    <w:rsid w:val="00621398"/>
    <w:rsid w:val="00622E25"/>
    <w:rsid w:val="006364AE"/>
    <w:rsid w:val="00637498"/>
    <w:rsid w:val="0064742D"/>
    <w:rsid w:val="0066228B"/>
    <w:rsid w:val="0067528D"/>
    <w:rsid w:val="006822C3"/>
    <w:rsid w:val="00687352"/>
    <w:rsid w:val="00691B1E"/>
    <w:rsid w:val="00694B5A"/>
    <w:rsid w:val="006A5A13"/>
    <w:rsid w:val="006A6532"/>
    <w:rsid w:val="006B071E"/>
    <w:rsid w:val="006B0E45"/>
    <w:rsid w:val="006C0D97"/>
    <w:rsid w:val="006D27DC"/>
    <w:rsid w:val="006D4B8A"/>
    <w:rsid w:val="006E7136"/>
    <w:rsid w:val="006F290D"/>
    <w:rsid w:val="006F3CC5"/>
    <w:rsid w:val="00702CFC"/>
    <w:rsid w:val="00711F1B"/>
    <w:rsid w:val="0072257D"/>
    <w:rsid w:val="00743FA3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D8D"/>
    <w:rsid w:val="007B2EA9"/>
    <w:rsid w:val="007C34FE"/>
    <w:rsid w:val="007C5837"/>
    <w:rsid w:val="007D01D5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945CA"/>
    <w:rsid w:val="008B3DA2"/>
    <w:rsid w:val="008C2394"/>
    <w:rsid w:val="008D2895"/>
    <w:rsid w:val="008D6A72"/>
    <w:rsid w:val="00907C4E"/>
    <w:rsid w:val="009243B3"/>
    <w:rsid w:val="00936387"/>
    <w:rsid w:val="009426A8"/>
    <w:rsid w:val="00952930"/>
    <w:rsid w:val="009647B1"/>
    <w:rsid w:val="00990C5F"/>
    <w:rsid w:val="009B542B"/>
    <w:rsid w:val="009B64D1"/>
    <w:rsid w:val="009C5DA3"/>
    <w:rsid w:val="009F224F"/>
    <w:rsid w:val="009F4750"/>
    <w:rsid w:val="009F4F99"/>
    <w:rsid w:val="009F77DB"/>
    <w:rsid w:val="00A02C76"/>
    <w:rsid w:val="00A05D11"/>
    <w:rsid w:val="00A10F05"/>
    <w:rsid w:val="00A17EE9"/>
    <w:rsid w:val="00A25328"/>
    <w:rsid w:val="00A27859"/>
    <w:rsid w:val="00A43950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95E4F"/>
    <w:rsid w:val="00BB2227"/>
    <w:rsid w:val="00BC08C0"/>
    <w:rsid w:val="00BC3AE3"/>
    <w:rsid w:val="00BC76B4"/>
    <w:rsid w:val="00BD4A4D"/>
    <w:rsid w:val="00BE3EDB"/>
    <w:rsid w:val="00C01FC9"/>
    <w:rsid w:val="00C07306"/>
    <w:rsid w:val="00C11CE4"/>
    <w:rsid w:val="00C3676D"/>
    <w:rsid w:val="00C370EF"/>
    <w:rsid w:val="00C37569"/>
    <w:rsid w:val="00C40354"/>
    <w:rsid w:val="00C41EA5"/>
    <w:rsid w:val="00C46B82"/>
    <w:rsid w:val="00C4793B"/>
    <w:rsid w:val="00C7205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3B8C"/>
    <w:rsid w:val="00EC5E1A"/>
    <w:rsid w:val="00ED0D8E"/>
    <w:rsid w:val="00ED739E"/>
    <w:rsid w:val="00EE2C7B"/>
    <w:rsid w:val="00F01955"/>
    <w:rsid w:val="00F01F57"/>
    <w:rsid w:val="00F023A4"/>
    <w:rsid w:val="00F12768"/>
    <w:rsid w:val="00F25149"/>
    <w:rsid w:val="00F71DFE"/>
    <w:rsid w:val="00F75494"/>
    <w:rsid w:val="00F837B2"/>
    <w:rsid w:val="00F92EF0"/>
    <w:rsid w:val="00F96C04"/>
    <w:rsid w:val="00FB208E"/>
    <w:rsid w:val="00FC4DBA"/>
    <w:rsid w:val="00FC5657"/>
    <w:rsid w:val="00FC6350"/>
    <w:rsid w:val="00FD4359"/>
    <w:rsid w:val="00FD4DD2"/>
    <w:rsid w:val="00FD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5:docId w15:val="{F171C53B-B9A6-4446-B146-4EB5E324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980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2019-02-18T17:17:00Z</dcterms:created>
  <dcterms:modified xsi:type="dcterms:W3CDTF">2019-07-10T14:52:00Z</dcterms:modified>
</cp:coreProperties>
</file>