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A34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</w:t>
      </w:r>
      <w:r w:rsidR="00DA34E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0518">
        <w:rPr>
          <w:rFonts w:ascii="Arial" w:hAnsi="Arial" w:cs="Arial"/>
          <w:b/>
          <w:sz w:val="20"/>
          <w:szCs w:val="20"/>
        </w:rPr>
        <w:t>2</w:t>
      </w:r>
      <w:r w:rsidR="00DA34E8">
        <w:rPr>
          <w:rFonts w:ascii="Arial" w:hAnsi="Arial" w:cs="Arial"/>
          <w:b/>
          <w:sz w:val="20"/>
          <w:szCs w:val="20"/>
        </w:rPr>
        <w:t>6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51B8" w:rsidP="00E451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53B1">
        <w:rPr>
          <w:rFonts w:ascii="Arial" w:hAnsi="Arial" w:cs="Arial"/>
          <w:sz w:val="20"/>
          <w:szCs w:val="20"/>
        </w:rPr>
        <w:t>a abertura de Crédito Adicional Suplementar, autorizado pela Lei nº 1.6</w:t>
      </w:r>
      <w:r w:rsidR="00E451CE">
        <w:rPr>
          <w:rFonts w:ascii="Arial" w:hAnsi="Arial" w:cs="Arial"/>
          <w:sz w:val="20"/>
          <w:szCs w:val="20"/>
        </w:rPr>
        <w:t>14</w:t>
      </w:r>
      <w:r w:rsidR="000553B1">
        <w:rPr>
          <w:rFonts w:ascii="Arial" w:hAnsi="Arial" w:cs="Arial"/>
          <w:sz w:val="20"/>
          <w:szCs w:val="20"/>
        </w:rPr>
        <w:t>, de 2</w:t>
      </w:r>
      <w:r w:rsidR="00E451CE">
        <w:rPr>
          <w:rFonts w:ascii="Arial" w:hAnsi="Arial" w:cs="Arial"/>
          <w:sz w:val="20"/>
          <w:szCs w:val="20"/>
        </w:rPr>
        <w:t>3</w:t>
      </w:r>
      <w:r w:rsidR="000553B1">
        <w:rPr>
          <w:rFonts w:ascii="Arial" w:hAnsi="Arial" w:cs="Arial"/>
          <w:sz w:val="20"/>
          <w:szCs w:val="20"/>
        </w:rPr>
        <w:t xml:space="preserve"> de </w:t>
      </w:r>
      <w:r w:rsidR="00E451CE">
        <w:rPr>
          <w:rFonts w:ascii="Arial" w:hAnsi="Arial" w:cs="Arial"/>
          <w:sz w:val="20"/>
          <w:szCs w:val="20"/>
        </w:rPr>
        <w:t>novembro</w:t>
      </w:r>
      <w:r w:rsidR="000553B1">
        <w:rPr>
          <w:rFonts w:ascii="Arial" w:hAnsi="Arial" w:cs="Arial"/>
          <w:sz w:val="20"/>
          <w:szCs w:val="20"/>
        </w:rPr>
        <w:t xml:space="preserve"> de 198</w:t>
      </w:r>
      <w:r w:rsidR="00E451CE">
        <w:rPr>
          <w:rFonts w:ascii="Arial" w:hAnsi="Arial" w:cs="Arial"/>
          <w:sz w:val="20"/>
          <w:szCs w:val="20"/>
        </w:rPr>
        <w:t>7</w:t>
      </w:r>
      <w:r w:rsidR="000553B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553B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DA3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53B1">
        <w:rPr>
          <w:rFonts w:ascii="Arial" w:hAnsi="Arial" w:cs="Arial"/>
          <w:sz w:val="20"/>
          <w:szCs w:val="20"/>
        </w:rPr>
        <w:t xml:space="preserve">Fica aberto no Departamento de Contabilidade e Orçamento, um </w:t>
      </w:r>
      <w:r w:rsidR="00E451CE">
        <w:rPr>
          <w:rFonts w:ascii="Arial" w:hAnsi="Arial" w:cs="Arial"/>
          <w:sz w:val="20"/>
          <w:szCs w:val="20"/>
        </w:rPr>
        <w:t>c</w:t>
      </w:r>
      <w:r w:rsidR="000553B1">
        <w:rPr>
          <w:rFonts w:ascii="Arial" w:hAnsi="Arial" w:cs="Arial"/>
          <w:sz w:val="20"/>
          <w:szCs w:val="20"/>
        </w:rPr>
        <w:t>ré</w:t>
      </w:r>
      <w:r w:rsidR="00AF5431">
        <w:rPr>
          <w:rFonts w:ascii="Arial" w:hAnsi="Arial" w:cs="Arial"/>
          <w:sz w:val="20"/>
          <w:szCs w:val="20"/>
        </w:rPr>
        <w:t>d</w:t>
      </w:r>
      <w:r w:rsidR="00E451CE">
        <w:rPr>
          <w:rFonts w:ascii="Arial" w:hAnsi="Arial" w:cs="Arial"/>
          <w:sz w:val="20"/>
          <w:szCs w:val="20"/>
        </w:rPr>
        <w:t>ito a</w:t>
      </w:r>
      <w:r w:rsidR="00EC69CE">
        <w:rPr>
          <w:rFonts w:ascii="Arial" w:hAnsi="Arial" w:cs="Arial"/>
          <w:sz w:val="20"/>
          <w:szCs w:val="20"/>
        </w:rPr>
        <w:t xml:space="preserve">dicional no valor de Cz$ </w:t>
      </w:r>
      <w:r w:rsidR="00DA34E8">
        <w:rPr>
          <w:rFonts w:ascii="Arial" w:hAnsi="Arial" w:cs="Arial"/>
          <w:sz w:val="20"/>
          <w:szCs w:val="20"/>
        </w:rPr>
        <w:t>8</w:t>
      </w:r>
      <w:r w:rsidR="00AF5431">
        <w:rPr>
          <w:rFonts w:ascii="Arial" w:hAnsi="Arial" w:cs="Arial"/>
          <w:sz w:val="20"/>
          <w:szCs w:val="20"/>
        </w:rPr>
        <w:t>00</w:t>
      </w:r>
      <w:r w:rsidR="000553B1">
        <w:rPr>
          <w:rFonts w:ascii="Arial" w:hAnsi="Arial" w:cs="Arial"/>
          <w:sz w:val="20"/>
          <w:szCs w:val="20"/>
        </w:rPr>
        <w:t>.000,00 (</w:t>
      </w:r>
      <w:r w:rsidR="00160F12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="00DA34E8">
        <w:rPr>
          <w:rFonts w:ascii="Arial" w:hAnsi="Arial" w:cs="Arial"/>
          <w:sz w:val="20"/>
          <w:szCs w:val="20"/>
        </w:rPr>
        <w:t>itocentos</w:t>
      </w:r>
      <w:r w:rsidR="00E451CE">
        <w:rPr>
          <w:rFonts w:ascii="Arial" w:hAnsi="Arial" w:cs="Arial"/>
          <w:sz w:val="20"/>
          <w:szCs w:val="20"/>
        </w:rPr>
        <w:t xml:space="preserve"> mil</w:t>
      </w:r>
      <w:r w:rsidR="000553B1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99"/>
        <w:gridCol w:w="1340"/>
      </w:tblGrid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160F12" w:rsidP="00160F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160F12" w:rsidP="00160F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160F12" w:rsidP="00160F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AF54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A34E8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34E8" w:rsidRDefault="00DA34E8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34E8" w:rsidRDefault="00DA34E8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540" w:rsidRDefault="009A1098" w:rsidP="00DA3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>O Crédito aberto no artigo anterior, será coberto com o</w:t>
      </w:r>
      <w:r w:rsidR="00EC69CE"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 xml:space="preserve">recurso proveniente </w:t>
      </w:r>
      <w:r w:rsidR="00E451CE">
        <w:rPr>
          <w:rFonts w:ascii="Arial" w:hAnsi="Arial" w:cs="Arial"/>
          <w:sz w:val="20"/>
          <w:szCs w:val="20"/>
        </w:rPr>
        <w:t>da reduç</w:t>
      </w:r>
      <w:r w:rsidR="00DA34E8">
        <w:rPr>
          <w:rFonts w:ascii="Arial" w:hAnsi="Arial" w:cs="Arial"/>
          <w:sz w:val="20"/>
          <w:szCs w:val="20"/>
        </w:rPr>
        <w:t>ão</w:t>
      </w:r>
      <w:r w:rsidR="00E451CE">
        <w:rPr>
          <w:rFonts w:ascii="Arial" w:hAnsi="Arial" w:cs="Arial"/>
          <w:sz w:val="20"/>
          <w:szCs w:val="20"/>
        </w:rPr>
        <w:t xml:space="preserve"> do Orçamento vigente</w:t>
      </w:r>
      <w:r w:rsidR="00020518">
        <w:rPr>
          <w:rFonts w:ascii="Arial" w:hAnsi="Arial" w:cs="Arial"/>
          <w:sz w:val="20"/>
          <w:szCs w:val="20"/>
        </w:rPr>
        <w:t>, na mesma importância</w:t>
      </w:r>
      <w:r w:rsidR="00E451CE">
        <w:rPr>
          <w:rFonts w:ascii="Arial" w:hAnsi="Arial" w:cs="Arial"/>
          <w:sz w:val="20"/>
          <w:szCs w:val="20"/>
        </w:rPr>
        <w:t>:</w:t>
      </w:r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10"/>
        <w:gridCol w:w="1340"/>
      </w:tblGrid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160F12" w:rsidP="00160F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160F12" w:rsidP="00160F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451CE" w:rsidRDefault="00160F12" w:rsidP="00160F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E451CE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DA34E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E451CE" w:rsidTr="000A30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E451CE" w:rsidP="000A30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451CE" w:rsidRDefault="00DA34E8" w:rsidP="000A30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51CE" w:rsidRDefault="00DA34E8" w:rsidP="000A30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A3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A153E">
        <w:rPr>
          <w:rFonts w:ascii="Arial" w:hAnsi="Arial" w:cs="Arial"/>
          <w:sz w:val="20"/>
          <w:szCs w:val="20"/>
        </w:rPr>
        <w:t>2</w:t>
      </w:r>
      <w:r w:rsidR="00DA34E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8F7F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39" w:rsidRDefault="00523339" w:rsidP="009243B3">
      <w:pPr>
        <w:spacing w:after="0" w:line="240" w:lineRule="auto"/>
      </w:pPr>
      <w:r>
        <w:separator/>
      </w:r>
    </w:p>
  </w:endnote>
  <w:endnote w:type="continuationSeparator" w:id="0">
    <w:p w:rsidR="00523339" w:rsidRDefault="005233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39" w:rsidRDefault="00523339" w:rsidP="009243B3">
      <w:pPr>
        <w:spacing w:after="0" w:line="240" w:lineRule="auto"/>
      </w:pPr>
      <w:r>
        <w:separator/>
      </w:r>
    </w:p>
  </w:footnote>
  <w:footnote w:type="continuationSeparator" w:id="0">
    <w:p w:rsidR="00523339" w:rsidRDefault="005233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0F12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3339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3BE2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524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32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08BB2D8"/>
  <w15:docId w15:val="{80A4FE10-3060-429D-834C-9279896A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2019-03-03T17:12:00Z</dcterms:created>
  <dcterms:modified xsi:type="dcterms:W3CDTF">2019-05-31T18:32:00Z</dcterms:modified>
</cp:coreProperties>
</file>