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5A29ED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A29ED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Torna sem efeito </w:t>
      </w:r>
      <w:r w:rsidRPr="005A29ED">
        <w:rPr>
          <w:rFonts w:ascii="Arial" w:hAnsi="Arial" w:cs="Arial"/>
          <w:sz w:val="20"/>
          <w:szCs w:val="20"/>
        </w:rPr>
        <w:t>numeração</w:t>
      </w:r>
      <w:r>
        <w:rPr>
          <w:rFonts w:ascii="Arial" w:hAnsi="Arial" w:cs="Arial"/>
          <w:sz w:val="20"/>
          <w:szCs w:val="20"/>
        </w:rPr>
        <w:t xml:space="preserve"> de Decreto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067E" w:rsidRPr="00AE1B1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29ED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5A29ED" w:rsidRPr="005A29ED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ca considerado sem efeito, a nu</w:t>
      </w:r>
      <w:r w:rsidR="005A29ED" w:rsidRPr="005A29ED">
        <w:rPr>
          <w:rFonts w:ascii="Arial" w:hAnsi="Arial" w:cs="Arial"/>
          <w:sz w:val="20"/>
          <w:szCs w:val="20"/>
        </w:rPr>
        <w:t>meração que seria dada ao Decreto posterior ao número 3.279 e anterior ao número 3.281, em razão de lapso ocorrido.</w:t>
      </w:r>
    </w:p>
    <w:p w:rsidR="00FC03A7" w:rsidRPr="005A29ED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Pr="005A29E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FC03A7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3A7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Ferraz de Vasconcelos, 1Q de outubro de </w:t>
      </w:r>
      <w:proofErr w:type="gramStart"/>
      <w:r w:rsidRPr="005A29ED">
        <w:rPr>
          <w:rFonts w:ascii="Arial" w:hAnsi="Arial" w:cs="Arial"/>
          <w:sz w:val="20"/>
          <w:szCs w:val="20"/>
        </w:rPr>
        <w:t>1.99 0</w:t>
      </w:r>
      <w:proofErr w:type="gramEnd"/>
      <w:r w:rsidRPr="005A29ED">
        <w:rPr>
          <w:rFonts w:ascii="Arial" w:hAnsi="Arial" w:cs="Arial"/>
          <w:sz w:val="20"/>
          <w:szCs w:val="20"/>
        </w:rPr>
        <w:t>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2019-04-28T21:55:00Z</dcterms:created>
  <dcterms:modified xsi:type="dcterms:W3CDTF">2019-04-28T21:57:00Z</dcterms:modified>
</cp:coreProperties>
</file>