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B75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5209D">
        <w:rPr>
          <w:rFonts w:ascii="Arial" w:hAnsi="Arial" w:cs="Arial"/>
          <w:b/>
          <w:sz w:val="20"/>
          <w:szCs w:val="20"/>
        </w:rPr>
        <w:t>4.826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5209D">
        <w:rPr>
          <w:rFonts w:ascii="Arial" w:hAnsi="Arial" w:cs="Arial"/>
          <w:b/>
          <w:sz w:val="20"/>
          <w:szCs w:val="20"/>
        </w:rPr>
        <w:t>17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B50F4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E940BA">
        <w:rPr>
          <w:rFonts w:ascii="Arial" w:hAnsi="Arial" w:cs="Arial"/>
          <w:b/>
          <w:sz w:val="20"/>
          <w:szCs w:val="20"/>
        </w:rPr>
        <w:t>2006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B115E" w:rsidP="00CC67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forma de pagamento de imóvel que </w:t>
      </w:r>
      <w:r w:rsidR="0035209D">
        <w:rPr>
          <w:rFonts w:ascii="Arial" w:hAnsi="Arial" w:cs="Arial"/>
          <w:sz w:val="20"/>
          <w:szCs w:val="20"/>
        </w:rPr>
        <w:t>especifica</w:t>
      </w:r>
      <w:r>
        <w:rPr>
          <w:rFonts w:ascii="Arial" w:hAnsi="Arial" w:cs="Arial"/>
          <w:sz w:val="20"/>
          <w:szCs w:val="20"/>
        </w:rPr>
        <w:t>, objeto de desapropriação amigável</w:t>
      </w:r>
      <w:r w:rsidR="004B750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73D0D" w:rsidRDefault="00CF1774" w:rsidP="00C3568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 w:rsidR="00E10D7B">
        <w:rPr>
          <w:rFonts w:ascii="Arial" w:hAnsi="Arial" w:cs="Arial"/>
          <w:b/>
          <w:sz w:val="20"/>
          <w:szCs w:val="20"/>
        </w:rPr>
        <w:t>DE SUAS ATRIBUIÇÕES LEGA</w:t>
      </w:r>
      <w:r w:rsidR="00D23B8A">
        <w:rPr>
          <w:rFonts w:ascii="Arial" w:hAnsi="Arial" w:cs="Arial"/>
          <w:b/>
          <w:sz w:val="20"/>
          <w:szCs w:val="20"/>
        </w:rPr>
        <w:t>IS</w:t>
      </w:r>
      <w:r w:rsidR="000B115E">
        <w:rPr>
          <w:rFonts w:ascii="Arial" w:hAnsi="Arial" w:cs="Arial"/>
          <w:b/>
          <w:sz w:val="20"/>
          <w:szCs w:val="20"/>
        </w:rPr>
        <w:t xml:space="preserve"> E </w:t>
      </w:r>
    </w:p>
    <w:p w:rsidR="00A73D0D" w:rsidRDefault="00A73D0D" w:rsidP="00C3568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A73D0D" w:rsidRDefault="000B115E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3D0D">
        <w:rPr>
          <w:rFonts w:ascii="Arial" w:hAnsi="Arial" w:cs="Arial"/>
          <w:sz w:val="20"/>
          <w:szCs w:val="20"/>
        </w:rPr>
        <w:t>CONSIDERANDO O CONSTANTE NO PROCESSO</w:t>
      </w:r>
      <w:r w:rsidR="0035209D" w:rsidRPr="00A73D0D">
        <w:rPr>
          <w:rFonts w:ascii="Arial" w:hAnsi="Arial" w:cs="Arial"/>
          <w:sz w:val="20"/>
          <w:szCs w:val="20"/>
        </w:rPr>
        <w:t xml:space="preserve"> INTERNO Nº 60/2005 – S.M.G</w:t>
      </w:r>
      <w:r w:rsidRPr="00A73D0D">
        <w:rPr>
          <w:rFonts w:ascii="Arial" w:hAnsi="Arial" w:cs="Arial"/>
          <w:sz w:val="20"/>
          <w:szCs w:val="20"/>
        </w:rPr>
        <w:t>.</w:t>
      </w:r>
      <w:r w:rsidR="00E10D7B" w:rsidRPr="00A73D0D">
        <w:rPr>
          <w:rFonts w:ascii="Arial" w:hAnsi="Arial" w:cs="Arial"/>
          <w:sz w:val="20"/>
          <w:szCs w:val="20"/>
        </w:rPr>
        <w:t>,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B115E">
        <w:rPr>
          <w:rFonts w:ascii="Arial" w:hAnsi="Arial" w:cs="Arial"/>
          <w:sz w:val="20"/>
          <w:szCs w:val="20"/>
        </w:rPr>
        <w:t>O pagamento de indenização</w:t>
      </w:r>
      <w:r w:rsidR="00371E90">
        <w:rPr>
          <w:rFonts w:ascii="Arial" w:hAnsi="Arial" w:cs="Arial"/>
          <w:sz w:val="20"/>
          <w:szCs w:val="20"/>
        </w:rPr>
        <w:t xml:space="preserve"> da desapropriação amigável </w:t>
      </w:r>
      <w:r w:rsidR="0035209D">
        <w:rPr>
          <w:rFonts w:ascii="Arial" w:hAnsi="Arial" w:cs="Arial"/>
          <w:sz w:val="20"/>
          <w:szCs w:val="20"/>
        </w:rPr>
        <w:t>do imóvel</w:t>
      </w:r>
      <w:r w:rsidR="00371E90">
        <w:rPr>
          <w:rFonts w:ascii="Arial" w:hAnsi="Arial" w:cs="Arial"/>
          <w:sz w:val="20"/>
          <w:szCs w:val="20"/>
        </w:rPr>
        <w:t xml:space="preserve"> localizado </w:t>
      </w:r>
      <w:r w:rsidR="0035209D">
        <w:rPr>
          <w:rFonts w:ascii="Arial" w:hAnsi="Arial" w:cs="Arial"/>
          <w:sz w:val="20"/>
          <w:szCs w:val="20"/>
        </w:rPr>
        <w:t>n</w:t>
      </w:r>
      <w:r w:rsidR="00371E90">
        <w:rPr>
          <w:rFonts w:ascii="Arial" w:hAnsi="Arial" w:cs="Arial"/>
          <w:sz w:val="20"/>
          <w:szCs w:val="20"/>
        </w:rPr>
        <w:t xml:space="preserve">a Rua </w:t>
      </w:r>
      <w:r w:rsidR="0035209D">
        <w:rPr>
          <w:rFonts w:ascii="Arial" w:hAnsi="Arial" w:cs="Arial"/>
          <w:sz w:val="20"/>
          <w:szCs w:val="20"/>
        </w:rPr>
        <w:t>Itaquaquecetuba</w:t>
      </w:r>
      <w:r w:rsidR="00371E90">
        <w:rPr>
          <w:rFonts w:ascii="Arial" w:hAnsi="Arial" w:cs="Arial"/>
          <w:sz w:val="20"/>
          <w:szCs w:val="20"/>
        </w:rPr>
        <w:t>, neste municíp</w:t>
      </w:r>
      <w:r w:rsidR="0035209D">
        <w:rPr>
          <w:rFonts w:ascii="Arial" w:hAnsi="Arial" w:cs="Arial"/>
          <w:sz w:val="20"/>
          <w:szCs w:val="20"/>
        </w:rPr>
        <w:t>io, por meio do Decreto nº 4.799, de 13</w:t>
      </w:r>
      <w:r w:rsidR="00371E90">
        <w:rPr>
          <w:rFonts w:ascii="Arial" w:hAnsi="Arial" w:cs="Arial"/>
          <w:sz w:val="20"/>
          <w:szCs w:val="20"/>
        </w:rPr>
        <w:t xml:space="preserve"> de setembro de 2005, será feita da seguinte forma:</w:t>
      </w:r>
    </w:p>
    <w:p w:rsidR="00371E90" w:rsidRDefault="00371E9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776"/>
        <w:gridCol w:w="4698"/>
      </w:tblGrid>
      <w:tr w:rsidR="00A73D0D" w:rsidRPr="00A73D0D" w:rsidTr="00A73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73D0D" w:rsidRPr="00A73D0D" w:rsidRDefault="00A73D0D" w:rsidP="00A73D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D0D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73D0D" w:rsidRPr="00A73D0D" w:rsidRDefault="00A73D0D" w:rsidP="00A73D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D0D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</w:tr>
      <w:tr w:rsidR="00A73D0D" w:rsidRPr="00A73D0D" w:rsidTr="00A73D0D">
        <w:trPr>
          <w:jc w:val="center"/>
        </w:trPr>
        <w:tc>
          <w:tcPr>
            <w:tcW w:w="0" w:type="auto"/>
          </w:tcPr>
          <w:p w:rsidR="00A73D0D" w:rsidRPr="00A73D0D" w:rsidRDefault="00A73D0D" w:rsidP="00A73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 xml:space="preserve">100.000,00 (cem mil reais) </w:t>
            </w:r>
          </w:p>
        </w:tc>
        <w:tc>
          <w:tcPr>
            <w:tcW w:w="0" w:type="auto"/>
          </w:tcPr>
          <w:p w:rsidR="00A73D0D" w:rsidRPr="00A73D0D" w:rsidRDefault="00A73D0D" w:rsidP="00A321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>com vencimento no dia 20 de fevereiro de 2006.</w:t>
            </w:r>
          </w:p>
        </w:tc>
      </w:tr>
      <w:tr w:rsidR="00A73D0D" w:rsidRPr="00A73D0D" w:rsidTr="00A73D0D">
        <w:trPr>
          <w:jc w:val="center"/>
        </w:trPr>
        <w:tc>
          <w:tcPr>
            <w:tcW w:w="0" w:type="auto"/>
          </w:tcPr>
          <w:p w:rsidR="00A73D0D" w:rsidRPr="00A73D0D" w:rsidRDefault="00A73D0D" w:rsidP="00A73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 xml:space="preserve">62.500,00 (sessenta e dois mil e quinhentos reais) </w:t>
            </w:r>
          </w:p>
        </w:tc>
        <w:tc>
          <w:tcPr>
            <w:tcW w:w="0" w:type="auto"/>
          </w:tcPr>
          <w:p w:rsidR="00A73D0D" w:rsidRPr="00A73D0D" w:rsidRDefault="00A73D0D" w:rsidP="00A321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>com vencimento no dia 20 de março de 2006.</w:t>
            </w:r>
          </w:p>
        </w:tc>
      </w:tr>
      <w:tr w:rsidR="00A73D0D" w:rsidRPr="00A73D0D" w:rsidTr="00A73D0D">
        <w:trPr>
          <w:jc w:val="center"/>
        </w:trPr>
        <w:tc>
          <w:tcPr>
            <w:tcW w:w="0" w:type="auto"/>
          </w:tcPr>
          <w:p w:rsidR="00A73D0D" w:rsidRPr="00A73D0D" w:rsidRDefault="00A73D0D" w:rsidP="00A73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 xml:space="preserve">62.500,00 (sessenta e dois mil e quinhentos reais) </w:t>
            </w:r>
          </w:p>
        </w:tc>
        <w:tc>
          <w:tcPr>
            <w:tcW w:w="0" w:type="auto"/>
          </w:tcPr>
          <w:p w:rsidR="00A73D0D" w:rsidRPr="00A73D0D" w:rsidRDefault="00A73D0D" w:rsidP="00A321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>com vencimento no dia 20 de abril de 2006.</w:t>
            </w:r>
          </w:p>
        </w:tc>
      </w:tr>
      <w:tr w:rsidR="00A73D0D" w:rsidRPr="00A73D0D" w:rsidTr="00A73D0D">
        <w:trPr>
          <w:jc w:val="center"/>
        </w:trPr>
        <w:tc>
          <w:tcPr>
            <w:tcW w:w="0" w:type="auto"/>
          </w:tcPr>
          <w:p w:rsidR="00A73D0D" w:rsidRPr="00A73D0D" w:rsidRDefault="00A73D0D" w:rsidP="00A73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 xml:space="preserve">62.500,00 (sessenta e dois mil e quinhentos reais) </w:t>
            </w:r>
          </w:p>
        </w:tc>
        <w:tc>
          <w:tcPr>
            <w:tcW w:w="0" w:type="auto"/>
          </w:tcPr>
          <w:p w:rsidR="00A73D0D" w:rsidRPr="00A73D0D" w:rsidRDefault="00A73D0D" w:rsidP="00A321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>com vencimento no dia 20 de maio de 2006.</w:t>
            </w:r>
          </w:p>
        </w:tc>
      </w:tr>
      <w:tr w:rsidR="00A73D0D" w:rsidRPr="00A73D0D" w:rsidTr="00A73D0D">
        <w:trPr>
          <w:jc w:val="center"/>
        </w:trPr>
        <w:tc>
          <w:tcPr>
            <w:tcW w:w="0" w:type="auto"/>
          </w:tcPr>
          <w:p w:rsidR="00A73D0D" w:rsidRPr="00A73D0D" w:rsidRDefault="00A73D0D" w:rsidP="00A73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 xml:space="preserve">62.500,00 (sessenta e dois mil e quinhentos reais) </w:t>
            </w:r>
          </w:p>
        </w:tc>
        <w:tc>
          <w:tcPr>
            <w:tcW w:w="0" w:type="auto"/>
          </w:tcPr>
          <w:p w:rsidR="00A73D0D" w:rsidRPr="00A73D0D" w:rsidRDefault="00A73D0D" w:rsidP="00A321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>com vencimento no dia 20 de junho de 2006.</w:t>
            </w:r>
          </w:p>
        </w:tc>
      </w:tr>
      <w:tr w:rsidR="00A73D0D" w:rsidRPr="00A73D0D" w:rsidTr="00A73D0D">
        <w:trPr>
          <w:jc w:val="center"/>
        </w:trPr>
        <w:tc>
          <w:tcPr>
            <w:tcW w:w="0" w:type="auto"/>
          </w:tcPr>
          <w:p w:rsidR="00A73D0D" w:rsidRPr="00A73D0D" w:rsidRDefault="00A73D0D" w:rsidP="00A73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 xml:space="preserve">62.500,00 (sessenta e dois mil e quinhentos reais) </w:t>
            </w:r>
          </w:p>
        </w:tc>
        <w:tc>
          <w:tcPr>
            <w:tcW w:w="0" w:type="auto"/>
          </w:tcPr>
          <w:p w:rsidR="00A73D0D" w:rsidRPr="00A73D0D" w:rsidRDefault="00A73D0D" w:rsidP="00A321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>com vencimento no dia 20 de julho de 2006.</w:t>
            </w:r>
          </w:p>
        </w:tc>
      </w:tr>
      <w:tr w:rsidR="00A73D0D" w:rsidRPr="00A73D0D" w:rsidTr="00A73D0D">
        <w:trPr>
          <w:jc w:val="center"/>
        </w:trPr>
        <w:tc>
          <w:tcPr>
            <w:tcW w:w="0" w:type="auto"/>
          </w:tcPr>
          <w:p w:rsidR="00A73D0D" w:rsidRPr="00A73D0D" w:rsidRDefault="00A73D0D" w:rsidP="00A73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 xml:space="preserve">62.500,00 (sessenta e dois mil e quinhentos reais) </w:t>
            </w:r>
          </w:p>
        </w:tc>
        <w:tc>
          <w:tcPr>
            <w:tcW w:w="0" w:type="auto"/>
          </w:tcPr>
          <w:p w:rsidR="00A73D0D" w:rsidRPr="00A73D0D" w:rsidRDefault="00A73D0D" w:rsidP="00A321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>com vencimento no dia 20 de agosto de 2006.</w:t>
            </w:r>
          </w:p>
        </w:tc>
      </w:tr>
      <w:tr w:rsidR="00A73D0D" w:rsidRPr="00A73D0D" w:rsidTr="00A73D0D">
        <w:trPr>
          <w:jc w:val="center"/>
        </w:trPr>
        <w:tc>
          <w:tcPr>
            <w:tcW w:w="0" w:type="auto"/>
          </w:tcPr>
          <w:p w:rsidR="00A73D0D" w:rsidRPr="00A73D0D" w:rsidRDefault="00A73D0D" w:rsidP="00A73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 xml:space="preserve">62.500,00 (sessenta e dois mil e quinhentos reais) </w:t>
            </w:r>
          </w:p>
        </w:tc>
        <w:tc>
          <w:tcPr>
            <w:tcW w:w="0" w:type="auto"/>
          </w:tcPr>
          <w:p w:rsidR="00A73D0D" w:rsidRPr="00A73D0D" w:rsidRDefault="00A73D0D" w:rsidP="00A321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>com vencimento no dia 20 de setembro de 2006.</w:t>
            </w:r>
          </w:p>
        </w:tc>
      </w:tr>
      <w:tr w:rsidR="00A73D0D" w:rsidRPr="00A73D0D" w:rsidTr="00A73D0D">
        <w:trPr>
          <w:jc w:val="center"/>
        </w:trPr>
        <w:tc>
          <w:tcPr>
            <w:tcW w:w="0" w:type="auto"/>
          </w:tcPr>
          <w:p w:rsidR="00A73D0D" w:rsidRPr="00A73D0D" w:rsidRDefault="00A73D0D" w:rsidP="00A73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 xml:space="preserve">62.500,00 (sessenta e dois mil e quinhentos reais) </w:t>
            </w:r>
          </w:p>
        </w:tc>
        <w:tc>
          <w:tcPr>
            <w:tcW w:w="0" w:type="auto"/>
          </w:tcPr>
          <w:p w:rsidR="00A73D0D" w:rsidRPr="00A73D0D" w:rsidRDefault="00A73D0D" w:rsidP="00A321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>com vencimento no dia 20 de outubro de 2006.</w:t>
            </w:r>
          </w:p>
        </w:tc>
      </w:tr>
      <w:tr w:rsidR="00A73D0D" w:rsidRPr="00A73D0D" w:rsidTr="00A73D0D">
        <w:trPr>
          <w:jc w:val="center"/>
        </w:trPr>
        <w:tc>
          <w:tcPr>
            <w:tcW w:w="0" w:type="auto"/>
          </w:tcPr>
          <w:p w:rsidR="00A73D0D" w:rsidRPr="00A73D0D" w:rsidRDefault="00A73D0D" w:rsidP="00A73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 xml:space="preserve">62.500,00 (sessenta e dois mil e quinhentos reais) </w:t>
            </w:r>
          </w:p>
        </w:tc>
        <w:tc>
          <w:tcPr>
            <w:tcW w:w="0" w:type="auto"/>
          </w:tcPr>
          <w:p w:rsidR="00A73D0D" w:rsidRPr="00A73D0D" w:rsidRDefault="00A73D0D" w:rsidP="00A321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>com vencimento no dia 20 de novembro de 2006.</w:t>
            </w:r>
          </w:p>
        </w:tc>
      </w:tr>
      <w:tr w:rsidR="00A73D0D" w:rsidRPr="00A73D0D" w:rsidTr="00A73D0D">
        <w:trPr>
          <w:jc w:val="center"/>
        </w:trPr>
        <w:tc>
          <w:tcPr>
            <w:tcW w:w="0" w:type="auto"/>
          </w:tcPr>
          <w:p w:rsidR="00A73D0D" w:rsidRPr="00A73D0D" w:rsidRDefault="00A73D0D" w:rsidP="00A73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 xml:space="preserve">62.500,00 (sessenta e dois mil e quinhentos reais) </w:t>
            </w:r>
          </w:p>
        </w:tc>
        <w:tc>
          <w:tcPr>
            <w:tcW w:w="0" w:type="auto"/>
          </w:tcPr>
          <w:p w:rsidR="00A73D0D" w:rsidRPr="00A73D0D" w:rsidRDefault="00A73D0D" w:rsidP="00A321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>com vencimento no dia 20 de dezembro de 2006.</w:t>
            </w:r>
          </w:p>
        </w:tc>
      </w:tr>
      <w:tr w:rsidR="00A73D0D" w:rsidRPr="00A73D0D" w:rsidTr="00A73D0D">
        <w:trPr>
          <w:jc w:val="center"/>
        </w:trPr>
        <w:tc>
          <w:tcPr>
            <w:tcW w:w="0" w:type="auto"/>
          </w:tcPr>
          <w:p w:rsidR="00A73D0D" w:rsidRPr="00A73D0D" w:rsidRDefault="00A73D0D" w:rsidP="00A73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 xml:space="preserve">62.500,00 (sessenta e dois mil e quinhentos reais) </w:t>
            </w:r>
          </w:p>
        </w:tc>
        <w:tc>
          <w:tcPr>
            <w:tcW w:w="0" w:type="auto"/>
          </w:tcPr>
          <w:p w:rsidR="00A73D0D" w:rsidRPr="00A73D0D" w:rsidRDefault="00A73D0D" w:rsidP="00A321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>com vencimento no dia 20 de janeiro de 2007.</w:t>
            </w:r>
          </w:p>
        </w:tc>
      </w:tr>
      <w:tr w:rsidR="00A73D0D" w:rsidRPr="00A73D0D" w:rsidTr="00A73D0D">
        <w:trPr>
          <w:jc w:val="center"/>
        </w:trPr>
        <w:tc>
          <w:tcPr>
            <w:tcW w:w="0" w:type="auto"/>
          </w:tcPr>
          <w:p w:rsidR="00A73D0D" w:rsidRPr="00A73D0D" w:rsidRDefault="00A73D0D" w:rsidP="00A73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 xml:space="preserve">62.500,00 (sessenta e dois mil e quinhentos reais) </w:t>
            </w:r>
          </w:p>
        </w:tc>
        <w:tc>
          <w:tcPr>
            <w:tcW w:w="0" w:type="auto"/>
          </w:tcPr>
          <w:p w:rsidR="00A73D0D" w:rsidRPr="00A73D0D" w:rsidRDefault="00A73D0D" w:rsidP="00A321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>com vencimento no dia 20 de fevereiro de 2007.</w:t>
            </w:r>
          </w:p>
        </w:tc>
      </w:tr>
      <w:tr w:rsidR="00A73D0D" w:rsidRPr="00A73D0D" w:rsidTr="00A73D0D">
        <w:trPr>
          <w:jc w:val="center"/>
        </w:trPr>
        <w:tc>
          <w:tcPr>
            <w:tcW w:w="0" w:type="auto"/>
          </w:tcPr>
          <w:p w:rsidR="00A73D0D" w:rsidRPr="00A73D0D" w:rsidRDefault="00A73D0D" w:rsidP="00A73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 xml:space="preserve">62.500,00 (sessenta e dois mil e quinhentos reais) </w:t>
            </w:r>
          </w:p>
        </w:tc>
        <w:tc>
          <w:tcPr>
            <w:tcW w:w="0" w:type="auto"/>
          </w:tcPr>
          <w:p w:rsidR="00A73D0D" w:rsidRPr="00A73D0D" w:rsidRDefault="00A73D0D" w:rsidP="00A321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>com vencimento no dia 20 de março de 2007.</w:t>
            </w:r>
          </w:p>
        </w:tc>
      </w:tr>
      <w:tr w:rsidR="00A73D0D" w:rsidRPr="00A73D0D" w:rsidTr="00A73D0D">
        <w:trPr>
          <w:jc w:val="center"/>
        </w:trPr>
        <w:tc>
          <w:tcPr>
            <w:tcW w:w="0" w:type="auto"/>
          </w:tcPr>
          <w:p w:rsidR="00A73D0D" w:rsidRPr="00A73D0D" w:rsidRDefault="00A73D0D" w:rsidP="00A73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 xml:space="preserve">62.500,00 (sessenta e dois mil e quinhentos reais) </w:t>
            </w:r>
          </w:p>
        </w:tc>
        <w:tc>
          <w:tcPr>
            <w:tcW w:w="0" w:type="auto"/>
          </w:tcPr>
          <w:p w:rsidR="00A73D0D" w:rsidRPr="00A73D0D" w:rsidRDefault="00A73D0D" w:rsidP="00A321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>com vencimento no dia 20 de abril de 2007.</w:t>
            </w:r>
          </w:p>
        </w:tc>
      </w:tr>
      <w:tr w:rsidR="00A73D0D" w:rsidRPr="00A73D0D" w:rsidTr="00A73D0D">
        <w:trPr>
          <w:jc w:val="center"/>
        </w:trPr>
        <w:tc>
          <w:tcPr>
            <w:tcW w:w="0" w:type="auto"/>
          </w:tcPr>
          <w:p w:rsidR="00A73D0D" w:rsidRPr="00A73D0D" w:rsidRDefault="00A73D0D" w:rsidP="00A73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 xml:space="preserve">62.500,00 (sessenta e dois mil e quinhentos reais) </w:t>
            </w:r>
          </w:p>
        </w:tc>
        <w:tc>
          <w:tcPr>
            <w:tcW w:w="0" w:type="auto"/>
          </w:tcPr>
          <w:p w:rsidR="00A73D0D" w:rsidRPr="00A73D0D" w:rsidRDefault="00A73D0D" w:rsidP="00A321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>com vencimento no dia 20 de maio de 2007.</w:t>
            </w:r>
          </w:p>
        </w:tc>
      </w:tr>
      <w:tr w:rsidR="00A73D0D" w:rsidRPr="00A73D0D" w:rsidTr="00A73D0D">
        <w:trPr>
          <w:jc w:val="center"/>
        </w:trPr>
        <w:tc>
          <w:tcPr>
            <w:tcW w:w="0" w:type="auto"/>
          </w:tcPr>
          <w:p w:rsidR="00A73D0D" w:rsidRPr="00A73D0D" w:rsidRDefault="00A73D0D" w:rsidP="00A73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 xml:space="preserve">62.500,00 (sessenta e dois mil e quinhentos reais) </w:t>
            </w:r>
          </w:p>
        </w:tc>
        <w:tc>
          <w:tcPr>
            <w:tcW w:w="0" w:type="auto"/>
          </w:tcPr>
          <w:p w:rsidR="00A73D0D" w:rsidRPr="00A73D0D" w:rsidRDefault="00A73D0D" w:rsidP="00A321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>com vencimento no dia 20 de junho de 2007.</w:t>
            </w:r>
          </w:p>
        </w:tc>
      </w:tr>
      <w:tr w:rsidR="00A73D0D" w:rsidRPr="00A73D0D" w:rsidTr="00A73D0D">
        <w:trPr>
          <w:jc w:val="center"/>
        </w:trPr>
        <w:tc>
          <w:tcPr>
            <w:tcW w:w="0" w:type="auto"/>
          </w:tcPr>
          <w:p w:rsidR="00A73D0D" w:rsidRPr="00A73D0D" w:rsidRDefault="00A73D0D" w:rsidP="00A73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 xml:space="preserve">62.500,00 (sessenta e dois mil e quinhentos reais) </w:t>
            </w:r>
          </w:p>
        </w:tc>
        <w:tc>
          <w:tcPr>
            <w:tcW w:w="0" w:type="auto"/>
          </w:tcPr>
          <w:p w:rsidR="00A73D0D" w:rsidRPr="00A73D0D" w:rsidRDefault="00A73D0D" w:rsidP="00A321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>com vencimento no dia 20 de julho de 2007.</w:t>
            </w:r>
          </w:p>
        </w:tc>
      </w:tr>
      <w:tr w:rsidR="00A73D0D" w:rsidRPr="00A73D0D" w:rsidTr="00A73D0D">
        <w:trPr>
          <w:jc w:val="center"/>
        </w:trPr>
        <w:tc>
          <w:tcPr>
            <w:tcW w:w="0" w:type="auto"/>
          </w:tcPr>
          <w:p w:rsidR="00A73D0D" w:rsidRPr="00A73D0D" w:rsidRDefault="00A73D0D" w:rsidP="00A73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 xml:space="preserve">62.500,00 (sessenta e dois mil e quinhentos reais) </w:t>
            </w:r>
          </w:p>
        </w:tc>
        <w:tc>
          <w:tcPr>
            <w:tcW w:w="0" w:type="auto"/>
          </w:tcPr>
          <w:p w:rsidR="00A73D0D" w:rsidRPr="00A73D0D" w:rsidRDefault="00A73D0D" w:rsidP="00A321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>com vencimento no dia 20 de agosto de 2007.</w:t>
            </w:r>
          </w:p>
        </w:tc>
      </w:tr>
      <w:tr w:rsidR="00A73D0D" w:rsidRPr="00A73D0D" w:rsidTr="00A73D0D">
        <w:trPr>
          <w:jc w:val="center"/>
        </w:trPr>
        <w:tc>
          <w:tcPr>
            <w:tcW w:w="0" w:type="auto"/>
          </w:tcPr>
          <w:p w:rsidR="00A73D0D" w:rsidRPr="00A73D0D" w:rsidRDefault="00A73D0D" w:rsidP="00A73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 xml:space="preserve">62.500,00 (sessenta e dois mil e quinhentos reais) </w:t>
            </w:r>
          </w:p>
        </w:tc>
        <w:tc>
          <w:tcPr>
            <w:tcW w:w="0" w:type="auto"/>
          </w:tcPr>
          <w:p w:rsidR="00A73D0D" w:rsidRPr="00A73D0D" w:rsidRDefault="00A73D0D" w:rsidP="00A321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>com vencimento no dia 20 de setembro de 2007.</w:t>
            </w:r>
          </w:p>
        </w:tc>
      </w:tr>
      <w:tr w:rsidR="00A73D0D" w:rsidRPr="00A73D0D" w:rsidTr="00A73D0D">
        <w:trPr>
          <w:jc w:val="center"/>
        </w:trPr>
        <w:tc>
          <w:tcPr>
            <w:tcW w:w="0" w:type="auto"/>
          </w:tcPr>
          <w:p w:rsidR="00A73D0D" w:rsidRPr="00A73D0D" w:rsidRDefault="00A73D0D" w:rsidP="00A73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0D">
              <w:rPr>
                <w:rFonts w:ascii="Arial" w:hAnsi="Arial" w:cs="Arial"/>
                <w:sz w:val="20"/>
                <w:szCs w:val="20"/>
              </w:rPr>
              <w:t xml:space="preserve">62.500,00 (sessenta e dois mil e quinhentos reais) </w:t>
            </w:r>
          </w:p>
        </w:tc>
        <w:tc>
          <w:tcPr>
            <w:tcW w:w="0" w:type="auto"/>
          </w:tcPr>
          <w:p w:rsidR="00A73D0D" w:rsidRPr="00A73D0D" w:rsidRDefault="00A73D0D" w:rsidP="00A321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A73D0D">
              <w:rPr>
                <w:rFonts w:ascii="Arial" w:hAnsi="Arial" w:cs="Arial"/>
                <w:sz w:val="20"/>
                <w:szCs w:val="20"/>
              </w:rPr>
              <w:t>com vencimento no dia 20 de outubro de 2007.</w:t>
            </w:r>
            <w:bookmarkEnd w:id="0"/>
          </w:p>
        </w:tc>
      </w:tr>
    </w:tbl>
    <w:p w:rsidR="00A73D0D" w:rsidRDefault="00A73D0D" w:rsidP="004B750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9243B3" w:rsidRDefault="0095468E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</w:t>
      </w:r>
      <w:r w:rsidR="00E10D7B">
        <w:rPr>
          <w:rFonts w:ascii="Arial" w:hAnsi="Arial" w:cs="Arial"/>
          <w:b/>
          <w:bCs/>
          <w:sz w:val="20"/>
          <w:szCs w:val="20"/>
        </w:rPr>
        <w:t>º</w:t>
      </w:r>
      <w:r w:rsidR="008F69F6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4A7EF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E5335">
        <w:rPr>
          <w:rFonts w:ascii="Arial" w:hAnsi="Arial" w:cs="Arial"/>
          <w:sz w:val="20"/>
          <w:szCs w:val="20"/>
        </w:rPr>
        <w:t>na data da sua publicaç</w:t>
      </w:r>
      <w:r w:rsidR="008F69F6"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z w:val="20"/>
          <w:szCs w:val="20"/>
        </w:rPr>
        <w:t>, revogando em to</w:t>
      </w:r>
      <w:r w:rsidR="00C35EC7">
        <w:rPr>
          <w:rFonts w:ascii="Arial" w:hAnsi="Arial" w:cs="Arial"/>
          <w:sz w:val="20"/>
          <w:szCs w:val="20"/>
        </w:rPr>
        <w:t>dos os termos o Decreto nº 4.800, de 14</w:t>
      </w:r>
      <w:r>
        <w:rPr>
          <w:rFonts w:ascii="Arial" w:hAnsi="Arial" w:cs="Arial"/>
          <w:sz w:val="20"/>
          <w:szCs w:val="20"/>
        </w:rPr>
        <w:t xml:space="preserve"> de setembro de 2005.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C35EC7">
        <w:rPr>
          <w:rFonts w:ascii="Arial" w:hAnsi="Arial" w:cs="Arial"/>
          <w:sz w:val="20"/>
          <w:szCs w:val="20"/>
        </w:rPr>
        <w:t>, 17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B50F4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94F">
        <w:rPr>
          <w:rFonts w:ascii="Arial" w:hAnsi="Arial" w:cs="Arial"/>
          <w:sz w:val="20"/>
          <w:szCs w:val="20"/>
        </w:rPr>
        <w:t>2006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49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810" w:rsidRDefault="004318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49494F">
        <w:rPr>
          <w:rFonts w:ascii="Arial" w:hAnsi="Arial" w:cs="Arial"/>
          <w:sz w:val="20"/>
          <w:szCs w:val="20"/>
        </w:rPr>
        <w:t>na Secretaria</w:t>
      </w:r>
      <w:r>
        <w:rPr>
          <w:rFonts w:ascii="Arial" w:hAnsi="Arial" w:cs="Arial"/>
          <w:sz w:val="20"/>
          <w:szCs w:val="20"/>
        </w:rPr>
        <w:t xml:space="preserve"> </w:t>
      </w:r>
      <w:r w:rsidR="00431810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Administração</w:t>
      </w:r>
      <w:r w:rsidR="000072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="0049494F">
        <w:rPr>
          <w:rFonts w:ascii="Arial" w:hAnsi="Arial" w:cs="Arial"/>
          <w:sz w:val="20"/>
          <w:szCs w:val="20"/>
        </w:rPr>
        <w:t>Departamento de Administração e publicado no Quadro de Editais do Paço Municipal na mesma data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49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9494F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</w:t>
      </w:r>
      <w:r w:rsidR="004B7500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A90" w:rsidRDefault="004A5A90" w:rsidP="009243B3">
      <w:pPr>
        <w:spacing w:after="0" w:line="240" w:lineRule="auto"/>
      </w:pPr>
      <w:r>
        <w:separator/>
      </w:r>
    </w:p>
  </w:endnote>
  <w:endnote w:type="continuationSeparator" w:id="0">
    <w:p w:rsidR="004A5A90" w:rsidRDefault="004A5A9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A90" w:rsidRDefault="004A5A90" w:rsidP="009243B3">
      <w:pPr>
        <w:spacing w:after="0" w:line="240" w:lineRule="auto"/>
      </w:pPr>
      <w:r>
        <w:separator/>
      </w:r>
    </w:p>
  </w:footnote>
  <w:footnote w:type="continuationSeparator" w:id="0">
    <w:p w:rsidR="004A5A90" w:rsidRDefault="004A5A9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2766"/>
    <w:rsid w:val="000072C3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115E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3554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27BA"/>
    <w:rsid w:val="00245506"/>
    <w:rsid w:val="00257315"/>
    <w:rsid w:val="00261F18"/>
    <w:rsid w:val="00263700"/>
    <w:rsid w:val="0026656A"/>
    <w:rsid w:val="00272409"/>
    <w:rsid w:val="00274981"/>
    <w:rsid w:val="00276BCA"/>
    <w:rsid w:val="00290569"/>
    <w:rsid w:val="00290F40"/>
    <w:rsid w:val="002951CB"/>
    <w:rsid w:val="00295437"/>
    <w:rsid w:val="00295B4A"/>
    <w:rsid w:val="00296E20"/>
    <w:rsid w:val="00297689"/>
    <w:rsid w:val="002A4694"/>
    <w:rsid w:val="002A51BA"/>
    <w:rsid w:val="002A739B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23186"/>
    <w:rsid w:val="00323A56"/>
    <w:rsid w:val="00324E70"/>
    <w:rsid w:val="00325A92"/>
    <w:rsid w:val="0033081D"/>
    <w:rsid w:val="00334985"/>
    <w:rsid w:val="00334D33"/>
    <w:rsid w:val="003406AA"/>
    <w:rsid w:val="003422DF"/>
    <w:rsid w:val="0035209D"/>
    <w:rsid w:val="00353535"/>
    <w:rsid w:val="003636D8"/>
    <w:rsid w:val="00366753"/>
    <w:rsid w:val="00371E90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810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7A3"/>
    <w:rsid w:val="0049494F"/>
    <w:rsid w:val="00494EF0"/>
    <w:rsid w:val="00497303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4EB"/>
    <w:rsid w:val="00592FF2"/>
    <w:rsid w:val="00596508"/>
    <w:rsid w:val="005A3339"/>
    <w:rsid w:val="005B0976"/>
    <w:rsid w:val="005B4C16"/>
    <w:rsid w:val="005B50F4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1CE4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14BE"/>
    <w:rsid w:val="007B1F20"/>
    <w:rsid w:val="007B2EF5"/>
    <w:rsid w:val="007B7ECC"/>
    <w:rsid w:val="007B7F4A"/>
    <w:rsid w:val="007C0CDC"/>
    <w:rsid w:val="007C24AE"/>
    <w:rsid w:val="007C73FF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2988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2E26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468E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3D0D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7A4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0812"/>
    <w:rsid w:val="00C355AE"/>
    <w:rsid w:val="00C3568F"/>
    <w:rsid w:val="00C35EC7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A7533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77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B8A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0D7B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0BA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583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5CE7"/>
    <w:rsid w:val="00F97B1E"/>
    <w:rsid w:val="00FA08DF"/>
    <w:rsid w:val="00FA2905"/>
    <w:rsid w:val="00FB0E09"/>
    <w:rsid w:val="00FB1670"/>
    <w:rsid w:val="00FB21E3"/>
    <w:rsid w:val="00FB4C03"/>
    <w:rsid w:val="00FB5A1A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  <w14:docId w14:val="5FA4AAAD"/>
  <w15:docId w15:val="{75F60C1B-1CC1-4A89-ACEF-ECDA9716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styleId="Tabelacomgrade">
    <w:name w:val="Table Grid"/>
    <w:basedOn w:val="Tabelanormal"/>
    <w:uiPriority w:val="59"/>
    <w:rsid w:val="00A73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73D0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73D0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483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2019-05-06T20:03:00Z</dcterms:created>
  <dcterms:modified xsi:type="dcterms:W3CDTF">2019-06-18T17:38:00Z</dcterms:modified>
</cp:coreProperties>
</file>