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5.250, DE 1° DE </w:t>
      </w:r>
      <w:proofErr w:type="gramStart"/>
      <w:r>
        <w:rPr>
          <w:rFonts w:ascii="Arial" w:eastAsia="Arial" w:hAnsi="Arial" w:cs="Arial"/>
          <w:b/>
          <w:sz w:val="20"/>
        </w:rPr>
        <w:t>JUNHO</w:t>
      </w:r>
      <w:proofErr w:type="gramEnd"/>
      <w:r>
        <w:rPr>
          <w:rFonts w:ascii="Arial" w:eastAsia="Arial" w:hAnsi="Arial" w:cs="Arial"/>
          <w:b/>
          <w:sz w:val="20"/>
        </w:rPr>
        <w:t xml:space="preserve"> DE 2010</w:t>
      </w:r>
    </w:p>
    <w:p w:rsidR="00CC458C" w:rsidRDefault="00CC458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Acrescenta § 3° ao artigo 1°, do Decreto n° 5.232/2010.</w:t>
      </w:r>
    </w:p>
    <w:p w:rsidR="00CC458C" w:rsidRDefault="00CC458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4.692/2010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Acrescenta § 3° ao artigo 1°, do Decreto n° 5.232/2010, q</w:t>
      </w:r>
      <w:r>
        <w:rPr>
          <w:rFonts w:ascii="Arial" w:eastAsia="Arial" w:hAnsi="Arial" w:cs="Arial"/>
          <w:sz w:val="20"/>
        </w:rPr>
        <w:t>ue fixa horário de funcionamento e dispõe sobre o sistema de plantão de farmácias e drogarias do Município para o exercício de 2010 e das outras providencias, passa a vigorar com a seguinte redação: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“Art. 1° (...)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1° (...)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2°. (...)</w:t>
      </w:r>
    </w:p>
    <w:p w:rsidR="00CC458C" w:rsidRDefault="00CC458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3° As farmáci</w:t>
      </w:r>
      <w:r>
        <w:rPr>
          <w:rFonts w:ascii="Arial" w:eastAsia="Arial" w:hAnsi="Arial" w:cs="Arial"/>
          <w:sz w:val="20"/>
        </w:rPr>
        <w:t>as de manipulação são isentas do sistema de plantão."</w:t>
      </w:r>
    </w:p>
    <w:p w:rsidR="00CC458C" w:rsidRDefault="00CC458C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publicação, continuando em vigor e inalterados os demais artigos.</w:t>
      </w:r>
    </w:p>
    <w:p w:rsidR="00CC458C" w:rsidRDefault="00CC458C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1° de junho de 2010.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CC458C" w:rsidRDefault="00CC45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CC458C" w:rsidRDefault="00CC458C">
      <w:pPr>
        <w:spacing w:after="0" w:line="240" w:lineRule="auto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CC458C" w:rsidRDefault="00603C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</w:t>
      </w:r>
      <w:r>
        <w:rPr>
          <w:rFonts w:ascii="Arial" w:eastAsia="Arial" w:hAnsi="Arial" w:cs="Arial"/>
          <w:sz w:val="20"/>
        </w:rPr>
        <w:t>rio Municipal de Administração</w:t>
      </w:r>
    </w:p>
    <w:p w:rsidR="00CC458C" w:rsidRDefault="00CC45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C458C" w:rsidRDefault="00CC458C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CC458C" w:rsidRDefault="00603C0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CC458C" w:rsidRDefault="00CC458C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CC458C" w:rsidRDefault="00CC458C">
      <w:pPr>
        <w:spacing w:after="200" w:line="276" w:lineRule="auto"/>
        <w:rPr>
          <w:rFonts w:ascii="Calibri" w:eastAsia="Calibri" w:hAnsi="Calibri" w:cs="Calibri"/>
        </w:rPr>
      </w:pPr>
    </w:p>
    <w:sectPr w:rsidR="00CC458C" w:rsidSect="00603C0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03" w:rsidRDefault="00603C03" w:rsidP="00603C03">
      <w:pPr>
        <w:spacing w:after="0" w:line="240" w:lineRule="auto"/>
      </w:pPr>
      <w:r>
        <w:separator/>
      </w:r>
    </w:p>
  </w:endnote>
  <w:endnote w:type="continuationSeparator" w:id="0">
    <w:p w:rsidR="00603C03" w:rsidRDefault="00603C03" w:rsidP="0060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03" w:rsidRDefault="00603C03" w:rsidP="00603C03">
      <w:pPr>
        <w:spacing w:after="0" w:line="240" w:lineRule="auto"/>
      </w:pPr>
      <w:r>
        <w:separator/>
      </w:r>
    </w:p>
  </w:footnote>
  <w:footnote w:type="continuationSeparator" w:id="0">
    <w:p w:rsidR="00603C03" w:rsidRDefault="00603C03" w:rsidP="0060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03" w:rsidRDefault="00603C03" w:rsidP="00603C03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458C"/>
    <w:rsid w:val="00603C03"/>
    <w:rsid w:val="00C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BE28"/>
  <w15:docId w15:val="{FFF5326B-89F6-49CC-BBE1-D0FD2913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C03"/>
  </w:style>
  <w:style w:type="paragraph" w:styleId="Rodap">
    <w:name w:val="footer"/>
    <w:basedOn w:val="Normal"/>
    <w:link w:val="RodapChar"/>
    <w:uiPriority w:val="99"/>
    <w:unhideWhenUsed/>
    <w:rsid w:val="00603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2019-06-26T12:51:00Z</dcterms:created>
  <dcterms:modified xsi:type="dcterms:W3CDTF">2019-06-26T12:52:00Z</dcterms:modified>
</cp:coreProperties>
</file>