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5.265, DE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13 DE JULHO DE 2010</w:t>
      </w:r>
    </w:p>
    <w:p w:rsidR="00C3292D" w:rsidRDefault="00C3292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2.932/2009.</w:t>
      </w:r>
    </w:p>
    <w:p w:rsidR="00C3292D" w:rsidRDefault="00C3292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3/2009 – D.E.D.;</w:t>
      </w:r>
    </w:p>
    <w:p w:rsidR="00C3292D" w:rsidRDefault="00C3292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C3292D" w:rsidRDefault="00C3292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292D" w:rsidRDefault="00C3292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Este Decreto tem como finalidade regulamentar o proc</w:t>
      </w:r>
      <w:r>
        <w:rPr>
          <w:rFonts w:ascii="Arial" w:eastAsia="Arial" w:hAnsi="Arial" w:cs="Arial"/>
          <w:sz w:val="20"/>
        </w:rPr>
        <w:t>edimento de fiscalização previsto no artigo 6° da Lei n° 2.932, de 7 de dezembro de 2009, que dispõe sobre a instalação de painel opaco entre os caixas e os clientes em espera em todas as agencias bancarias e instituições financeiras localizadas no Municíp</w:t>
      </w:r>
      <w:r>
        <w:rPr>
          <w:rFonts w:ascii="Arial" w:eastAsia="Arial" w:hAnsi="Arial" w:cs="Arial"/>
          <w:sz w:val="20"/>
        </w:rPr>
        <w:t>io de Ferraz de Vasconcelos, cuja competência ficará a cargo de agentes próprios, designados pela Secretaria Municipal da Fazenda.</w:t>
      </w:r>
    </w:p>
    <w:p w:rsidR="00C3292D" w:rsidRDefault="00C3292D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Este Decreto entra em vigor na data de sua publicação, revogando as disposições em contrário.</w:t>
      </w:r>
    </w:p>
    <w:p w:rsidR="00C3292D" w:rsidRDefault="00C3292D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C3292D" w:rsidRDefault="00C3292D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</w:t>
      </w:r>
      <w:r>
        <w:rPr>
          <w:rFonts w:ascii="Arial" w:eastAsia="Arial" w:hAnsi="Arial" w:cs="Arial"/>
          <w:sz w:val="20"/>
        </w:rPr>
        <w:t>os, 13 de julho de 2010.</w:t>
      </w:r>
    </w:p>
    <w:p w:rsidR="00C3292D" w:rsidRDefault="00C3292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292D" w:rsidRDefault="00C3292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C3292D" w:rsidRDefault="00C3292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292D" w:rsidRDefault="00C3292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C3292D" w:rsidRDefault="00C3292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292D" w:rsidRDefault="00C3292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C3292D" w:rsidRDefault="00C3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3292D" w:rsidRDefault="00C3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Divisão de Expediente e Documentação e publicada no Quadro de Editais do Paço Municipal na mesma data.</w:t>
      </w:r>
    </w:p>
    <w:p w:rsidR="00C3292D" w:rsidRDefault="00C3292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292D" w:rsidRDefault="00C3292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C3292D" w:rsidRDefault="000213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C3292D" w:rsidRDefault="00C3292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292D" w:rsidRDefault="00C3292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C3292D" w:rsidRDefault="00021313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C3292D" w:rsidRDefault="00C3292D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C3292D" w:rsidRDefault="00C3292D">
      <w:pPr>
        <w:spacing w:after="200" w:line="276" w:lineRule="auto"/>
        <w:rPr>
          <w:rFonts w:ascii="Calibri" w:eastAsia="Calibri" w:hAnsi="Calibri" w:cs="Calibri"/>
        </w:rPr>
      </w:pPr>
    </w:p>
    <w:sectPr w:rsidR="00C3292D" w:rsidSect="00021313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13" w:rsidRDefault="00021313" w:rsidP="00021313">
      <w:pPr>
        <w:spacing w:after="0" w:line="240" w:lineRule="auto"/>
      </w:pPr>
      <w:r>
        <w:separator/>
      </w:r>
    </w:p>
  </w:endnote>
  <w:endnote w:type="continuationSeparator" w:id="0">
    <w:p w:rsidR="00021313" w:rsidRDefault="00021313" w:rsidP="0002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13" w:rsidRDefault="00021313" w:rsidP="00021313">
      <w:pPr>
        <w:spacing w:after="0" w:line="240" w:lineRule="auto"/>
      </w:pPr>
      <w:r>
        <w:separator/>
      </w:r>
    </w:p>
  </w:footnote>
  <w:footnote w:type="continuationSeparator" w:id="0">
    <w:p w:rsidR="00021313" w:rsidRDefault="00021313" w:rsidP="0002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13" w:rsidRDefault="00021313" w:rsidP="00021313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292D"/>
    <w:rsid w:val="00021313"/>
    <w:rsid w:val="00C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0C7C4-9928-42FB-BAEF-56387800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1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313"/>
  </w:style>
  <w:style w:type="paragraph" w:styleId="Rodap">
    <w:name w:val="footer"/>
    <w:basedOn w:val="Normal"/>
    <w:link w:val="RodapChar"/>
    <w:uiPriority w:val="99"/>
    <w:unhideWhenUsed/>
    <w:rsid w:val="00021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2019-06-26T13:50:00Z</dcterms:created>
  <dcterms:modified xsi:type="dcterms:W3CDTF">2019-06-26T13:54:00Z</dcterms:modified>
</cp:coreProperties>
</file>