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EBE" w:rsidRDefault="00107C91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5.314, DE 24 DE NOVEMBRO DE 2010</w:t>
      </w:r>
    </w:p>
    <w:p w:rsidR="00503EBE" w:rsidRDefault="00503EB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regulamentação da Lei n° 2.682/2005.</w:t>
      </w:r>
    </w:p>
    <w:p w:rsidR="00503EBE" w:rsidRDefault="00503EB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PROTOCOLIZADO N° 13.677/10;</w:t>
      </w:r>
    </w:p>
    <w:p w:rsidR="00503EBE" w:rsidRDefault="00503EB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503EBE" w:rsidRDefault="00503EB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03EBE" w:rsidRDefault="00503EB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As agências bancárias e demais estabelecimentos de crédito</w:t>
      </w:r>
      <w:r>
        <w:rPr>
          <w:rFonts w:ascii="Arial" w:eastAsia="Arial" w:hAnsi="Arial" w:cs="Arial"/>
          <w:sz w:val="20"/>
        </w:rPr>
        <w:t xml:space="preserve"> do Município deverão colocar à disposição de seus clientes e usuários em geral, pessoal suficiente nos caixas visando agilizar o atendimento nesses setores, respeitando sempre a dignidade e o tempo destinado para esse fim.</w:t>
      </w:r>
    </w:p>
    <w:p w:rsidR="00503EBE" w:rsidRDefault="00503EB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1° </w:t>
      </w:r>
      <w:r>
        <w:rPr>
          <w:rFonts w:ascii="Arial" w:eastAsia="Arial" w:hAnsi="Arial" w:cs="Arial"/>
          <w:sz w:val="20"/>
        </w:rPr>
        <w:t>O tempo destinado ao atend</w:t>
      </w:r>
      <w:r>
        <w:rPr>
          <w:rFonts w:ascii="Arial" w:eastAsia="Arial" w:hAnsi="Arial" w:cs="Arial"/>
          <w:sz w:val="20"/>
        </w:rPr>
        <w:t>imento dos clientes e usuários em geral será de até:</w:t>
      </w:r>
    </w:p>
    <w:p w:rsidR="00503EBE" w:rsidRDefault="00503EB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503EBE" w:rsidRDefault="00107C91" w:rsidP="00107C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107C91">
        <w:rPr>
          <w:rFonts w:ascii="Arial" w:eastAsia="Arial" w:hAnsi="Arial" w:cs="Arial"/>
          <w:b/>
          <w:sz w:val="20"/>
        </w:rPr>
        <w:t>I -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15 (quinze) minutos em dias normais;</w:t>
      </w:r>
    </w:p>
    <w:p w:rsidR="00503EBE" w:rsidRDefault="00107C91" w:rsidP="00107C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107C91">
        <w:rPr>
          <w:rFonts w:ascii="Arial" w:eastAsia="Arial" w:hAnsi="Arial" w:cs="Arial"/>
          <w:b/>
          <w:sz w:val="20"/>
        </w:rPr>
        <w:t>II -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25 (vinte e cinco) minutos às vésperas e após feriados, e;</w:t>
      </w:r>
    </w:p>
    <w:p w:rsidR="00503EBE" w:rsidRDefault="00107C91" w:rsidP="00107C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107C91">
        <w:rPr>
          <w:rFonts w:ascii="Arial" w:eastAsia="Arial" w:hAnsi="Arial" w:cs="Arial"/>
          <w:b/>
          <w:sz w:val="20"/>
        </w:rPr>
        <w:t>III -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30 (trinta) minutos nos dias de pagamento de servidores públicos.</w:t>
      </w:r>
    </w:p>
    <w:p w:rsidR="00503EBE" w:rsidRDefault="00503EBE">
      <w:pPr>
        <w:spacing w:after="0" w:line="240" w:lineRule="auto"/>
        <w:ind w:left="4142" w:right="-74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2° </w:t>
      </w:r>
      <w:r>
        <w:rPr>
          <w:rFonts w:ascii="Arial" w:eastAsia="Arial" w:hAnsi="Arial" w:cs="Arial"/>
          <w:sz w:val="20"/>
        </w:rPr>
        <w:t>No período compreendido entre 10 de dezembro e 10 de janeiro, haverá tolerância de 10 (dez) minutos para atendimento de qualquer natureza.</w:t>
      </w:r>
    </w:p>
    <w:p w:rsidR="00503EBE" w:rsidRDefault="00107C9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:rsidR="00503EBE" w:rsidRDefault="00107C9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2° </w:t>
      </w:r>
      <w:r>
        <w:rPr>
          <w:rFonts w:ascii="Arial" w:eastAsia="Arial" w:hAnsi="Arial" w:cs="Arial"/>
          <w:sz w:val="20"/>
        </w:rPr>
        <w:t>Os estabelecimentos de que trata o artigo 1° deste Decreto deverão instalar em local próprio, sistema elet</w:t>
      </w:r>
      <w:r>
        <w:rPr>
          <w:rFonts w:ascii="Arial" w:eastAsia="Arial" w:hAnsi="Arial" w:cs="Arial"/>
          <w:sz w:val="20"/>
        </w:rPr>
        <w:t>rônico destinado ao controle de entrada do cliente ou usuário, visando-se auferir com isso a permanência dos mesmos nas filas.</w:t>
      </w:r>
    </w:p>
    <w:p w:rsidR="00503EBE" w:rsidRDefault="00503EB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 3°</w:t>
      </w:r>
      <w:r>
        <w:rPr>
          <w:rFonts w:ascii="Arial" w:eastAsia="Arial" w:hAnsi="Arial" w:cs="Arial"/>
          <w:sz w:val="20"/>
        </w:rPr>
        <w:t xml:space="preserve"> O descumprimento das normas previstas neste Decreto, implicará ao infrator as seguintes sanções:</w:t>
      </w:r>
    </w:p>
    <w:p w:rsidR="00503EBE" w:rsidRDefault="00503EB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503EBE" w:rsidRDefault="00107C91" w:rsidP="00107C91">
      <w:pPr>
        <w:spacing w:after="0" w:line="240" w:lineRule="auto"/>
        <w:ind w:left="4502" w:right="-74"/>
        <w:jc w:val="both"/>
        <w:rPr>
          <w:rFonts w:ascii="Arial" w:eastAsia="Arial" w:hAnsi="Arial" w:cs="Arial"/>
          <w:sz w:val="20"/>
        </w:rPr>
      </w:pPr>
      <w:r w:rsidRPr="00107C91">
        <w:rPr>
          <w:rFonts w:ascii="Arial" w:eastAsia="Arial" w:hAnsi="Arial" w:cs="Arial"/>
          <w:b/>
          <w:sz w:val="20"/>
        </w:rPr>
        <w:t>I -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Advertência e;</w:t>
      </w:r>
    </w:p>
    <w:p w:rsidR="00503EBE" w:rsidRDefault="00107C91" w:rsidP="00107C91">
      <w:pPr>
        <w:spacing w:after="0" w:line="240" w:lineRule="auto"/>
        <w:ind w:left="4502" w:right="-74"/>
        <w:jc w:val="both"/>
        <w:rPr>
          <w:rFonts w:ascii="Arial" w:eastAsia="Arial" w:hAnsi="Arial" w:cs="Arial"/>
          <w:sz w:val="20"/>
        </w:rPr>
      </w:pPr>
      <w:r w:rsidRPr="00107C91">
        <w:rPr>
          <w:rFonts w:ascii="Arial" w:eastAsia="Arial" w:hAnsi="Arial" w:cs="Arial"/>
          <w:b/>
          <w:sz w:val="20"/>
        </w:rPr>
        <w:t>II –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Multa.</w:t>
      </w:r>
    </w:p>
    <w:p w:rsidR="00503EBE" w:rsidRDefault="00503EB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1° </w:t>
      </w:r>
      <w:r>
        <w:rPr>
          <w:rFonts w:ascii="Arial" w:eastAsia="Arial" w:hAnsi="Arial" w:cs="Arial"/>
          <w:sz w:val="20"/>
        </w:rPr>
        <w:t>O auto de infração e a aplicação da multa deverá conter:</w:t>
      </w:r>
    </w:p>
    <w:p w:rsidR="00503EBE" w:rsidRDefault="00503EB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503EBE" w:rsidRPr="00107C91" w:rsidRDefault="00107C91" w:rsidP="00107C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107C91">
        <w:rPr>
          <w:rFonts w:ascii="Arial" w:eastAsia="Arial" w:hAnsi="Arial" w:cs="Arial"/>
          <w:b/>
          <w:sz w:val="20"/>
        </w:rPr>
        <w:t>a)</w:t>
      </w:r>
      <w:r>
        <w:rPr>
          <w:rFonts w:ascii="Arial" w:eastAsia="Arial" w:hAnsi="Arial" w:cs="Arial"/>
          <w:sz w:val="20"/>
        </w:rPr>
        <w:t xml:space="preserve"> </w:t>
      </w:r>
      <w:r w:rsidRPr="00107C91">
        <w:rPr>
          <w:rFonts w:ascii="Arial" w:eastAsia="Arial" w:hAnsi="Arial" w:cs="Arial"/>
          <w:sz w:val="20"/>
        </w:rPr>
        <w:t>a hora, a data e o local onde foi lavrada infração;</w:t>
      </w:r>
    </w:p>
    <w:p w:rsidR="00503EBE" w:rsidRDefault="00107C91" w:rsidP="00107C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107C91">
        <w:rPr>
          <w:rFonts w:ascii="Arial" w:eastAsia="Arial" w:hAnsi="Arial" w:cs="Arial"/>
          <w:b/>
          <w:sz w:val="20"/>
        </w:rPr>
        <w:t>b)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a</w:t>
      </w:r>
      <w:r>
        <w:rPr>
          <w:rFonts w:ascii="Arial" w:eastAsia="Arial" w:hAnsi="Arial" w:cs="Arial"/>
          <w:sz w:val="20"/>
        </w:rPr>
        <w:t xml:space="preserve"> descrição precisa da infração;</w:t>
      </w:r>
    </w:p>
    <w:p w:rsidR="00503EBE" w:rsidRDefault="00107C91" w:rsidP="00107C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 w:rsidRPr="00107C91">
        <w:rPr>
          <w:rFonts w:ascii="Arial" w:eastAsia="Arial" w:hAnsi="Arial" w:cs="Arial"/>
          <w:b/>
          <w:sz w:val="20"/>
        </w:rPr>
        <w:t>c)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>nome e assinatura do servidor que lavrou a infração, bem como o nome, o endereço e a assinatura do responsá</w:t>
      </w:r>
      <w:r>
        <w:rPr>
          <w:rFonts w:ascii="Arial" w:eastAsia="Arial" w:hAnsi="Arial" w:cs="Arial"/>
          <w:sz w:val="20"/>
        </w:rPr>
        <w:t>vel e de testemunhas se houver.</w:t>
      </w:r>
    </w:p>
    <w:p w:rsidR="00503EBE" w:rsidRDefault="00503EB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2° </w:t>
      </w:r>
      <w:r>
        <w:rPr>
          <w:rFonts w:ascii="Arial" w:eastAsia="Arial" w:hAnsi="Arial" w:cs="Arial"/>
          <w:sz w:val="20"/>
        </w:rPr>
        <w:t>O prazo para oferecer recurso ou pagar a multa é de dez (10) dias uteis, contados a partir da notificação.</w:t>
      </w:r>
    </w:p>
    <w:p w:rsidR="00503EBE" w:rsidRDefault="00503EB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§ 3° </w:t>
      </w:r>
      <w:r>
        <w:rPr>
          <w:rFonts w:ascii="Arial" w:eastAsia="Arial" w:hAnsi="Arial" w:cs="Arial"/>
          <w:sz w:val="20"/>
        </w:rPr>
        <w:t>A critério da administração, mediante solicitação do interessado, antes da aplicação da penalidade previs</w:t>
      </w:r>
      <w:r>
        <w:rPr>
          <w:rFonts w:ascii="Arial" w:eastAsia="Arial" w:hAnsi="Arial" w:cs="Arial"/>
          <w:sz w:val="20"/>
        </w:rPr>
        <w:t>ta no inciso II deste artigo, poderá se conceder prazo de no máximo dez (10) dias para regularização da situação apontada no auto de infração.</w:t>
      </w:r>
    </w:p>
    <w:p w:rsidR="00503EBE" w:rsidRDefault="00503EB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lastRenderedPageBreak/>
        <w:t xml:space="preserve">Art. 4° </w:t>
      </w:r>
      <w:r>
        <w:rPr>
          <w:rFonts w:ascii="Arial" w:eastAsia="Arial" w:hAnsi="Arial" w:cs="Arial"/>
          <w:sz w:val="20"/>
        </w:rPr>
        <w:t>O valor da multa a que se refere o inciso II do artigo 3° deste Decreto é dez (10) Unidades Fiscais do M</w:t>
      </w:r>
      <w:r>
        <w:rPr>
          <w:rFonts w:ascii="Arial" w:eastAsia="Arial" w:hAnsi="Arial" w:cs="Arial"/>
          <w:sz w:val="20"/>
        </w:rPr>
        <w:t>unicípio – UFM, por cada infração, sendo que na reincidência o valor será aplicado em dobro.</w:t>
      </w:r>
    </w:p>
    <w:p w:rsidR="00503EBE" w:rsidRDefault="00503EB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5° </w:t>
      </w:r>
      <w:r>
        <w:rPr>
          <w:rFonts w:ascii="Arial" w:eastAsia="Arial" w:hAnsi="Arial" w:cs="Arial"/>
          <w:sz w:val="20"/>
        </w:rPr>
        <w:t>Compete a Secretaria Municipal Governo a fiscalização das agências</w:t>
      </w:r>
      <w:bookmarkStart w:id="0" w:name="_GoBack"/>
      <w:bookmarkEnd w:id="0"/>
      <w:r>
        <w:rPr>
          <w:rFonts w:ascii="Arial" w:eastAsia="Arial" w:hAnsi="Arial" w:cs="Arial"/>
          <w:sz w:val="20"/>
        </w:rPr>
        <w:t xml:space="preserve"> bancárias com vistas ao cumprimento das normas contidas neste Decreto</w:t>
      </w:r>
    </w:p>
    <w:p w:rsidR="00503EBE" w:rsidRDefault="00503EB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6° </w:t>
      </w:r>
      <w:r>
        <w:rPr>
          <w:rFonts w:ascii="Arial" w:eastAsia="Arial" w:hAnsi="Arial" w:cs="Arial"/>
          <w:sz w:val="20"/>
        </w:rPr>
        <w:t>Este Decreto entra em vigor na data de sua publicação.</w:t>
      </w:r>
    </w:p>
    <w:p w:rsidR="00503EBE" w:rsidRDefault="00503EB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503EBE" w:rsidRDefault="00503EB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24 de novembro de 2010.</w:t>
      </w:r>
    </w:p>
    <w:p w:rsidR="00503EBE" w:rsidRDefault="00503EB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03EBE" w:rsidRDefault="00503EB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503EBE" w:rsidRDefault="00107C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Prefeito</w:t>
      </w:r>
    </w:p>
    <w:p w:rsidR="00503EBE" w:rsidRDefault="00503EB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03EBE" w:rsidRDefault="00503EB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MIGUEL CALDERARO GIACOMINI</w:t>
      </w:r>
    </w:p>
    <w:p w:rsidR="00503EBE" w:rsidRDefault="00107C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de Governo</w:t>
      </w:r>
    </w:p>
    <w:p w:rsidR="00503EBE" w:rsidRDefault="00503EB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03EBE" w:rsidRDefault="00503EB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:rsidR="00503EBE" w:rsidRDefault="00107C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da Fazenda</w:t>
      </w:r>
    </w:p>
    <w:p w:rsidR="00503EBE" w:rsidRDefault="00503EB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03EBE" w:rsidRDefault="00503EB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publicado no Quadro de Editais do Paço Municipal na mesma data.</w:t>
      </w:r>
    </w:p>
    <w:p w:rsidR="00503EBE" w:rsidRDefault="00503EB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03EBE" w:rsidRDefault="00503EB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503EBE" w:rsidRDefault="00107C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503EBE" w:rsidRDefault="00107C9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503EBE" w:rsidRDefault="00503EB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503EBE" w:rsidRDefault="00503EBE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503EBE" w:rsidRDefault="00107C91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p w:rsidR="00503EBE" w:rsidRDefault="00503EBE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503EBE" w:rsidRDefault="00503EBE">
      <w:pPr>
        <w:spacing w:after="200" w:line="276" w:lineRule="auto"/>
        <w:rPr>
          <w:rFonts w:ascii="Calibri" w:eastAsia="Calibri" w:hAnsi="Calibri" w:cs="Calibri"/>
        </w:rPr>
      </w:pPr>
    </w:p>
    <w:sectPr w:rsidR="00503EBE" w:rsidSect="00107C9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7C91" w:rsidRDefault="00107C91" w:rsidP="00107C91">
      <w:pPr>
        <w:spacing w:after="0" w:line="240" w:lineRule="auto"/>
      </w:pPr>
      <w:r>
        <w:separator/>
      </w:r>
    </w:p>
  </w:endnote>
  <w:endnote w:type="continuationSeparator" w:id="0">
    <w:p w:rsidR="00107C91" w:rsidRDefault="00107C91" w:rsidP="00107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7C91" w:rsidRDefault="00107C91" w:rsidP="00107C91">
      <w:pPr>
        <w:spacing w:after="0" w:line="240" w:lineRule="auto"/>
      </w:pPr>
      <w:r>
        <w:separator/>
      </w:r>
    </w:p>
  </w:footnote>
  <w:footnote w:type="continuationSeparator" w:id="0">
    <w:p w:rsidR="00107C91" w:rsidRDefault="00107C91" w:rsidP="00107C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91" w:rsidRDefault="00107C91" w:rsidP="00107C91">
    <w:pPr>
      <w:pStyle w:val="Cabealho"/>
      <w:jc w:val="center"/>
    </w:pPr>
    <w:r>
      <w:rPr>
        <w:noProof/>
      </w:rPr>
      <w:drawing>
        <wp:inline distT="0" distB="0" distL="0" distR="0" wp14:anchorId="46C5855D" wp14:editId="229A2724">
          <wp:extent cx="1036320" cy="1018540"/>
          <wp:effectExtent l="0" t="0" r="0" b="0"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185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53EEB"/>
    <w:multiLevelType w:val="multilevel"/>
    <w:tmpl w:val="1E2830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DD3073A"/>
    <w:multiLevelType w:val="multilevel"/>
    <w:tmpl w:val="C0D08C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8D120D"/>
    <w:multiLevelType w:val="hybridMultilevel"/>
    <w:tmpl w:val="A94681A4"/>
    <w:lvl w:ilvl="0" w:tplc="4B30D4E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61A77FA7"/>
    <w:multiLevelType w:val="multilevel"/>
    <w:tmpl w:val="FB661C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03EBE"/>
    <w:rsid w:val="00107C91"/>
    <w:rsid w:val="0050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85525"/>
  <w15:docId w15:val="{C390FA34-D1B5-479B-A672-10DE58519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7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C91"/>
  </w:style>
  <w:style w:type="paragraph" w:styleId="Rodap">
    <w:name w:val="footer"/>
    <w:basedOn w:val="Normal"/>
    <w:link w:val="RodapChar"/>
    <w:uiPriority w:val="99"/>
    <w:unhideWhenUsed/>
    <w:rsid w:val="00107C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7C91"/>
  </w:style>
  <w:style w:type="paragraph" w:styleId="PargrafodaLista">
    <w:name w:val="List Paragraph"/>
    <w:basedOn w:val="Normal"/>
    <w:uiPriority w:val="34"/>
    <w:qFormat/>
    <w:rsid w:val="00107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2468</Characters>
  <Application>Microsoft Office Word</Application>
  <DocSecurity>0</DocSecurity>
  <Lines>20</Lines>
  <Paragraphs>5</Paragraphs>
  <ScaleCrop>false</ScaleCrop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2019-06-26T18:22:00Z</dcterms:created>
  <dcterms:modified xsi:type="dcterms:W3CDTF">2019-06-26T18:25:00Z</dcterms:modified>
</cp:coreProperties>
</file>