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D826FC">
        <w:rPr>
          <w:rFonts w:ascii="Arial" w:hAnsi="Arial" w:cs="Arial"/>
          <w:b/>
          <w:sz w:val="20"/>
          <w:szCs w:val="20"/>
        </w:rPr>
        <w:t>08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26FC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826FC">
        <w:rPr>
          <w:rFonts w:ascii="Arial" w:hAnsi="Arial" w:cs="Arial"/>
          <w:b/>
          <w:sz w:val="20"/>
          <w:szCs w:val="20"/>
        </w:rPr>
        <w:t>FEVEREIRO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>
        <w:rPr>
          <w:rFonts w:ascii="Arial" w:hAnsi="Arial" w:cs="Arial"/>
          <w:sz w:val="20"/>
          <w:szCs w:val="20"/>
        </w:rPr>
        <w:t xml:space="preserve">a </w:t>
      </w:r>
      <w:r w:rsidR="00D826FC">
        <w:rPr>
          <w:rFonts w:ascii="Arial" w:hAnsi="Arial" w:cs="Arial"/>
          <w:sz w:val="20"/>
          <w:szCs w:val="20"/>
        </w:rPr>
        <w:t>Criação de Cargo</w:t>
      </w:r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7D6B">
        <w:rPr>
          <w:rFonts w:ascii="Arial" w:hAnsi="Arial" w:cs="Arial"/>
          <w:sz w:val="20"/>
          <w:szCs w:val="20"/>
        </w:rPr>
        <w:t xml:space="preserve">Fica criado no Quadro de Cargos de Provimento Efetivo da Prefeitura Municipal, </w:t>
      </w:r>
      <w:proofErr w:type="gramStart"/>
      <w:r w:rsidR="002B7D6B">
        <w:rPr>
          <w:rFonts w:ascii="Arial" w:hAnsi="Arial" w:cs="Arial"/>
          <w:sz w:val="20"/>
          <w:szCs w:val="20"/>
        </w:rPr>
        <w:t>1</w:t>
      </w:r>
      <w:proofErr w:type="gramEnd"/>
      <w:r w:rsidR="002B7D6B">
        <w:rPr>
          <w:rFonts w:ascii="Arial" w:hAnsi="Arial" w:cs="Arial"/>
          <w:sz w:val="20"/>
          <w:szCs w:val="20"/>
        </w:rPr>
        <w:t xml:space="preserve"> (um) cargo de Desenhista, Referência “I”, da Tabela II, Anexo I, da Lei nº 1855/90, o qual passa a contar com 3 (três) cargos</w:t>
      </w:r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B7D6B">
        <w:rPr>
          <w:rFonts w:ascii="Arial" w:hAnsi="Arial" w:cs="Arial"/>
          <w:sz w:val="20"/>
          <w:szCs w:val="20"/>
        </w:rPr>
        <w:t>As despesas decorrentes da presente Lei, correrão à conta de dotações próprias,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B7D6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2B7D6B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C4" w:rsidRDefault="009419C4" w:rsidP="009243B3">
      <w:pPr>
        <w:spacing w:after="0" w:line="240" w:lineRule="auto"/>
      </w:pPr>
      <w:r>
        <w:separator/>
      </w:r>
    </w:p>
  </w:endnote>
  <w:endnote w:type="continuationSeparator" w:id="0">
    <w:p w:rsidR="009419C4" w:rsidRDefault="009419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C4" w:rsidRDefault="009419C4" w:rsidP="009243B3">
      <w:pPr>
        <w:spacing w:after="0" w:line="240" w:lineRule="auto"/>
      </w:pPr>
      <w:r>
        <w:separator/>
      </w:r>
    </w:p>
  </w:footnote>
  <w:footnote w:type="continuationSeparator" w:id="0">
    <w:p w:rsidR="009419C4" w:rsidRDefault="009419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115AB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7474B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2019-04-22T02:06:00Z</dcterms:created>
  <dcterms:modified xsi:type="dcterms:W3CDTF">2019-04-22T02:11:00Z</dcterms:modified>
</cp:coreProperties>
</file>