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4B3AE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3AE0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3AE0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B3A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proofErr w:type="gramStart"/>
      <w:r>
        <w:rPr>
          <w:rFonts w:ascii="Arial" w:hAnsi="Arial" w:cs="Arial"/>
          <w:sz w:val="20"/>
          <w:szCs w:val="20"/>
        </w:rPr>
        <w:t>a dispositivos</w:t>
      </w:r>
      <w:proofErr w:type="gramEnd"/>
      <w:r>
        <w:rPr>
          <w:rFonts w:ascii="Arial" w:hAnsi="Arial" w:cs="Arial"/>
          <w:sz w:val="20"/>
          <w:szCs w:val="20"/>
        </w:rPr>
        <w:t xml:space="preserve"> do Código tributário Municipal e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0CDA" w:rsidRDefault="007E5EC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3AE0">
        <w:rPr>
          <w:rFonts w:ascii="Arial" w:hAnsi="Arial" w:cs="Arial"/>
          <w:sz w:val="20"/>
          <w:szCs w:val="20"/>
        </w:rPr>
        <w:t xml:space="preserve">Passam </w:t>
      </w:r>
      <w:r w:rsidR="004B3AE0">
        <w:rPr>
          <w:rFonts w:ascii="Arial" w:hAnsi="Arial" w:cs="Arial"/>
          <w:sz w:val="20"/>
          <w:szCs w:val="20"/>
        </w:rPr>
        <w:t xml:space="preserve">a </w:t>
      </w:r>
      <w:r w:rsidR="004B3AE0">
        <w:rPr>
          <w:rFonts w:ascii="Arial" w:hAnsi="Arial" w:cs="Arial"/>
          <w:sz w:val="20"/>
          <w:szCs w:val="20"/>
        </w:rPr>
        <w:t>vigor</w:t>
      </w:r>
      <w:r w:rsidR="004B3AE0">
        <w:rPr>
          <w:rFonts w:ascii="Arial" w:hAnsi="Arial" w:cs="Arial"/>
          <w:sz w:val="20"/>
          <w:szCs w:val="20"/>
        </w:rPr>
        <w:t>a</w:t>
      </w:r>
      <w:r w:rsidR="004B3AE0">
        <w:rPr>
          <w:rFonts w:ascii="Arial" w:hAnsi="Arial" w:cs="Arial"/>
          <w:sz w:val="20"/>
          <w:szCs w:val="20"/>
        </w:rPr>
        <w:t>r com a</w:t>
      </w:r>
      <w:r w:rsidR="004B3AE0">
        <w:rPr>
          <w:rFonts w:ascii="Arial" w:hAnsi="Arial" w:cs="Arial"/>
          <w:sz w:val="20"/>
          <w:szCs w:val="20"/>
        </w:rPr>
        <w:t xml:space="preserve"> seguinte redação</w:t>
      </w:r>
      <w:r w:rsidR="004B3AE0">
        <w:rPr>
          <w:rFonts w:ascii="Arial" w:hAnsi="Arial" w:cs="Arial"/>
          <w:sz w:val="20"/>
          <w:szCs w:val="20"/>
        </w:rPr>
        <w:t>, o</w:t>
      </w:r>
      <w:r w:rsidR="00250CDA">
        <w:rPr>
          <w:rFonts w:ascii="Arial" w:hAnsi="Arial" w:cs="Arial"/>
          <w:sz w:val="20"/>
          <w:szCs w:val="20"/>
        </w:rPr>
        <w:t xml:space="preserve">s artigos </w:t>
      </w:r>
      <w:r w:rsidR="004B3AE0">
        <w:rPr>
          <w:rFonts w:ascii="Arial" w:hAnsi="Arial" w:cs="Arial"/>
          <w:sz w:val="20"/>
          <w:szCs w:val="20"/>
        </w:rPr>
        <w:t>67</w:t>
      </w:r>
      <w:r w:rsidR="00250CDA">
        <w:rPr>
          <w:rFonts w:ascii="Arial" w:hAnsi="Arial" w:cs="Arial"/>
          <w:sz w:val="20"/>
          <w:szCs w:val="20"/>
        </w:rPr>
        <w:t xml:space="preserve"> e </w:t>
      </w:r>
      <w:r w:rsidR="004B3AE0">
        <w:rPr>
          <w:rFonts w:ascii="Arial" w:hAnsi="Arial" w:cs="Arial"/>
          <w:sz w:val="20"/>
          <w:szCs w:val="20"/>
        </w:rPr>
        <w:t>70</w:t>
      </w:r>
      <w:r w:rsidR="00250CDA">
        <w:rPr>
          <w:rFonts w:ascii="Arial" w:hAnsi="Arial" w:cs="Arial"/>
          <w:sz w:val="20"/>
          <w:szCs w:val="20"/>
        </w:rPr>
        <w:t xml:space="preserve"> da Lei nº 1</w:t>
      </w:r>
      <w:r w:rsidR="004B3AE0">
        <w:rPr>
          <w:rFonts w:ascii="Arial" w:hAnsi="Arial" w:cs="Arial"/>
          <w:sz w:val="20"/>
          <w:szCs w:val="20"/>
        </w:rPr>
        <w:t>.</w:t>
      </w:r>
      <w:r w:rsidR="00250CDA">
        <w:rPr>
          <w:rFonts w:ascii="Arial" w:hAnsi="Arial" w:cs="Arial"/>
          <w:sz w:val="20"/>
          <w:szCs w:val="20"/>
        </w:rPr>
        <w:t xml:space="preserve">129, de 27 de dezembro </w:t>
      </w:r>
      <w:r w:rsidR="004B3AE0">
        <w:rPr>
          <w:rFonts w:ascii="Arial" w:hAnsi="Arial" w:cs="Arial"/>
          <w:sz w:val="20"/>
          <w:szCs w:val="20"/>
        </w:rPr>
        <w:t>de 1979: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E0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4B3AE0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B3AE0">
        <w:rPr>
          <w:rFonts w:ascii="Arial" w:hAnsi="Arial" w:cs="Arial"/>
          <w:sz w:val="20"/>
          <w:szCs w:val="20"/>
        </w:rPr>
        <w:t>Quando o serviço for prestado sob a forma de trabalho pessoal do próprio contribuinte, o imposto será cobrado da seguinte forma:</w:t>
      </w:r>
    </w:p>
    <w:p w:rsidR="004B3AE0" w:rsidRDefault="004B3AE0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77" w:rsidRDefault="005D7D77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109,79 UFIRs, em relação aos serviços de que tratam os itens 1, 4, 8, 22, 23, 24, 25, 26, 30, 52, 53, 88, 89, 90, 91 e 92, da lista estabelecida no artigo 87;</w:t>
      </w:r>
    </w:p>
    <w:p w:rsidR="00AE339E" w:rsidRDefault="005D7D77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54,90 UFIRs, para os demais serviços</w:t>
      </w:r>
      <w:r w:rsidR="00BB22EE">
        <w:rPr>
          <w:rFonts w:ascii="Arial" w:hAnsi="Arial" w:cs="Arial"/>
          <w:sz w:val="20"/>
          <w:szCs w:val="20"/>
        </w:rPr>
        <w:t>.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5D7D77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. </w:t>
      </w:r>
      <w:r w:rsidR="005D7D77">
        <w:rPr>
          <w:rFonts w:ascii="Arial" w:hAnsi="Arial" w:cs="Arial"/>
          <w:sz w:val="20"/>
          <w:szCs w:val="20"/>
        </w:rPr>
        <w:t>Fica estabelecida a alíquota de 0,5% (meio por cento) incidente sobre o preço dos serviços, para todos os itens da Lista de que trata o artigo 87, salvo para as atividades dos itens 32, 33, 34 e 97 em que a alíquota será 1% (um por cento); a atividade prevista no item 60, em que a alíquota será 5% (cinco por cento) e; a atividade prevista nos itens 95 e 96, em que a alíquota será de 0,25% (vinte e cinco centésimos por cento)</w:t>
      </w:r>
      <w:r w:rsidR="00E75A58">
        <w:rPr>
          <w:rFonts w:ascii="Arial" w:hAnsi="Arial" w:cs="Arial"/>
          <w:sz w:val="20"/>
          <w:szCs w:val="20"/>
        </w:rPr>
        <w:t>.</w:t>
      </w:r>
      <w:proofErr w:type="gramStart"/>
      <w:r w:rsidR="00E75A58">
        <w:rPr>
          <w:rFonts w:ascii="Arial" w:hAnsi="Arial" w:cs="Arial"/>
          <w:sz w:val="20"/>
          <w:szCs w:val="20"/>
        </w:rPr>
        <w:t>”</w:t>
      </w:r>
      <w:proofErr w:type="gramEnd"/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77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</w:t>
      </w:r>
      <w:r w:rsidR="005D7D77">
        <w:rPr>
          <w:rFonts w:ascii="Arial" w:hAnsi="Arial" w:cs="Arial"/>
          <w:sz w:val="20"/>
          <w:szCs w:val="20"/>
        </w:rPr>
        <w:t>Fica alterada a TABELA II do artigo 137, da Lei nº 1.129, de 27 de dezembro de 1979, que passa a vigorar com a seguinte redação:</w:t>
      </w:r>
    </w:p>
    <w:p w:rsidR="005D7D77" w:rsidRDefault="005D7D77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7D77" w:rsidRDefault="005D7D77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“TABELA II</w:t>
      </w:r>
    </w:p>
    <w:p w:rsidR="005D7D77" w:rsidRDefault="005D7D77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7481"/>
        <w:gridCol w:w="2266"/>
      </w:tblGrid>
      <w:tr w:rsidR="005D7D77" w:rsidTr="00750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</w:tcPr>
          <w:p w:rsidR="005D7D77" w:rsidRDefault="005D7D77" w:rsidP="005D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Nº 1.129/79</w:t>
            </w:r>
          </w:p>
          <w:p w:rsidR="005D7D77" w:rsidRDefault="005D7D77" w:rsidP="005D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(artigo 137)</w:t>
            </w:r>
          </w:p>
        </w:tc>
      </w:tr>
      <w:tr w:rsidR="005D7D77" w:rsidRPr="00FA4143" w:rsidTr="00FA414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7D77" w:rsidRPr="00FA4143" w:rsidRDefault="005D7D77" w:rsidP="00FA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4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7D77" w:rsidRPr="00FA4143" w:rsidRDefault="005D7D77" w:rsidP="00FA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43">
              <w:rPr>
                <w:rFonts w:ascii="Arial" w:hAnsi="Arial" w:cs="Arial"/>
                <w:b/>
                <w:sz w:val="20"/>
                <w:szCs w:val="20"/>
              </w:rPr>
              <w:t>TAXA DE LICENÇA PARA FUNCIONAMENTO DO ESTABELECIMENTO EM HORÁRIOS ESPECIAIS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7D77" w:rsidRPr="00FA4143" w:rsidRDefault="005D7D77" w:rsidP="00FA4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43">
              <w:rPr>
                <w:rFonts w:ascii="Arial" w:hAnsi="Arial" w:cs="Arial"/>
                <w:b/>
                <w:sz w:val="20"/>
                <w:szCs w:val="20"/>
              </w:rPr>
              <w:t>QUANTIDADE EM UFIR</w:t>
            </w: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PRORROGAÇÃO DE HORÁRIO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7D77" w:rsidRPr="005D7D77" w:rsidRDefault="005D7D77" w:rsidP="005D7D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D7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(...)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(...)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ANTECIPAÇÃO DE HORÁRIO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7D77" w:rsidRPr="005D7D77" w:rsidRDefault="005D7D77" w:rsidP="001C5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D7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(...)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5D7D77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7D77" w:rsidRDefault="005D7D77" w:rsidP="001C5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(...)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77" w:rsidTr="005D7D77">
        <w:trPr>
          <w:jc w:val="center"/>
        </w:trPr>
        <w:tc>
          <w:tcPr>
            <w:tcW w:w="0" w:type="auto"/>
          </w:tcPr>
          <w:p w:rsidR="005D7D77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D7D77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AOS DOMINGOS E FERIADOS</w:t>
            </w:r>
          </w:p>
        </w:tc>
        <w:tc>
          <w:tcPr>
            <w:tcW w:w="0" w:type="auto"/>
          </w:tcPr>
          <w:p w:rsidR="005D7D77" w:rsidRDefault="005D7D77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143" w:rsidTr="005D7D77">
        <w:trPr>
          <w:jc w:val="center"/>
        </w:trPr>
        <w:tc>
          <w:tcPr>
            <w:tcW w:w="0" w:type="auto"/>
          </w:tcPr>
          <w:p w:rsidR="00FA4143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143" w:rsidRPr="005D7D77" w:rsidRDefault="00FA4143" w:rsidP="001C5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D7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06:00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às 12:00 horas</w:t>
            </w:r>
          </w:p>
        </w:tc>
        <w:tc>
          <w:tcPr>
            <w:tcW w:w="0" w:type="auto"/>
          </w:tcPr>
          <w:p w:rsidR="00FA4143" w:rsidRDefault="00FA4143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52,40</w:t>
            </w:r>
          </w:p>
        </w:tc>
      </w:tr>
      <w:tr w:rsidR="00FA4143" w:rsidTr="005D7D77">
        <w:trPr>
          <w:jc w:val="center"/>
        </w:trPr>
        <w:tc>
          <w:tcPr>
            <w:tcW w:w="0" w:type="auto"/>
          </w:tcPr>
          <w:p w:rsidR="00FA4143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143" w:rsidRDefault="00FA4143" w:rsidP="00FA4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das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às 2</w:t>
            </w:r>
            <w:r>
              <w:rPr>
                <w:rFonts w:ascii="Arial" w:hAnsi="Arial" w:cs="Arial"/>
                <w:sz w:val="20"/>
                <w:szCs w:val="20"/>
              </w:rPr>
              <w:t>2:00 horas</w:t>
            </w:r>
          </w:p>
        </w:tc>
        <w:tc>
          <w:tcPr>
            <w:tcW w:w="0" w:type="auto"/>
          </w:tcPr>
          <w:p w:rsidR="00FA4143" w:rsidRDefault="00FA4143" w:rsidP="00FA41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78,60</w:t>
            </w:r>
          </w:p>
        </w:tc>
      </w:tr>
      <w:tr w:rsidR="00FA4143" w:rsidTr="005D7D77">
        <w:trPr>
          <w:jc w:val="center"/>
        </w:trPr>
        <w:tc>
          <w:tcPr>
            <w:tcW w:w="0" w:type="auto"/>
          </w:tcPr>
          <w:p w:rsidR="00FA4143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143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Nota 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0" w:type="auto"/>
          </w:tcPr>
          <w:p w:rsidR="00FA4143" w:rsidRDefault="00FA4143" w:rsidP="004B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7D77" w:rsidRDefault="005D7D77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A4143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F03D7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E75A58">
        <w:rPr>
          <w:rFonts w:ascii="Arial" w:hAnsi="Arial" w:cs="Arial"/>
          <w:sz w:val="20"/>
          <w:szCs w:val="20"/>
        </w:rPr>
        <w:t xml:space="preserve"> e seus efeitos a partir de 1º de janeiro de 1998</w:t>
      </w:r>
      <w:r>
        <w:rPr>
          <w:rFonts w:ascii="Arial" w:hAnsi="Arial" w:cs="Arial"/>
          <w:sz w:val="20"/>
          <w:szCs w:val="20"/>
        </w:rPr>
        <w:t>, re</w:t>
      </w:r>
      <w:r w:rsidR="004B03E0">
        <w:rPr>
          <w:rFonts w:ascii="Arial" w:hAnsi="Arial" w:cs="Arial"/>
          <w:sz w:val="20"/>
          <w:szCs w:val="20"/>
        </w:rPr>
        <w:t>voga</w:t>
      </w:r>
      <w:r>
        <w:rPr>
          <w:rFonts w:ascii="Arial" w:hAnsi="Arial" w:cs="Arial"/>
          <w:sz w:val="20"/>
          <w:szCs w:val="20"/>
        </w:rPr>
        <w:t>das</w:t>
      </w:r>
      <w:r w:rsidR="00B223E0" w:rsidRPr="00B223E0">
        <w:rPr>
          <w:rFonts w:ascii="Arial" w:hAnsi="Arial" w:cs="Arial"/>
          <w:sz w:val="20"/>
          <w:szCs w:val="20"/>
        </w:rPr>
        <w:t xml:space="preserve"> as disposições</w:t>
      </w:r>
      <w:r w:rsidR="00F210F6"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</w:t>
      </w:r>
      <w:r w:rsidR="0065159A">
        <w:rPr>
          <w:rFonts w:ascii="Arial" w:hAnsi="Arial" w:cs="Arial"/>
          <w:sz w:val="20"/>
          <w:szCs w:val="20"/>
        </w:rPr>
        <w:t xml:space="preserve"> em especial a</w:t>
      </w:r>
      <w:r>
        <w:rPr>
          <w:rFonts w:ascii="Arial" w:hAnsi="Arial" w:cs="Arial"/>
          <w:sz w:val="20"/>
          <w:szCs w:val="20"/>
        </w:rPr>
        <w:t>quelas constantes dos incisos, parágrafos e “caput” do artigo 7º da Lei Complementar nº 061, de 19 de dezembro de 1995, que dá nova redação a dispositivos do Código Tributário do Município e dá outras providências</w:t>
      </w:r>
      <w:r w:rsidR="00B223E0" w:rsidRPr="00B223E0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75A5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FA4143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B1" w:rsidRDefault="001333B1" w:rsidP="009243B3">
      <w:pPr>
        <w:spacing w:after="0" w:line="240" w:lineRule="auto"/>
      </w:pPr>
      <w:r>
        <w:separator/>
      </w:r>
    </w:p>
  </w:endnote>
  <w:endnote w:type="continuationSeparator" w:id="0">
    <w:p w:rsidR="001333B1" w:rsidRDefault="001333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B1" w:rsidRDefault="001333B1" w:rsidP="009243B3">
      <w:pPr>
        <w:spacing w:after="0" w:line="240" w:lineRule="auto"/>
      </w:pPr>
      <w:r>
        <w:separator/>
      </w:r>
    </w:p>
  </w:footnote>
  <w:footnote w:type="continuationSeparator" w:id="0">
    <w:p w:rsidR="001333B1" w:rsidRDefault="001333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333B1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6DC3"/>
    <w:rsid w:val="00855D61"/>
    <w:rsid w:val="00876499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A4143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2019-04-27T16:38:00Z</dcterms:created>
  <dcterms:modified xsi:type="dcterms:W3CDTF">2019-04-27T17:00:00Z</dcterms:modified>
</cp:coreProperties>
</file>