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</w:t>
      </w:r>
      <w:r w:rsidR="00250CD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303E">
        <w:rPr>
          <w:rFonts w:ascii="Arial" w:hAnsi="Arial" w:cs="Arial"/>
          <w:b/>
          <w:sz w:val="20"/>
          <w:szCs w:val="20"/>
        </w:rPr>
        <w:t>22</w:t>
      </w:r>
      <w:bookmarkStart w:id="0" w:name="_GoBack"/>
      <w:bookmarkEnd w:id="0"/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66ACF">
        <w:rPr>
          <w:rFonts w:ascii="Arial" w:hAnsi="Arial" w:cs="Arial"/>
          <w:b/>
          <w:sz w:val="20"/>
          <w:szCs w:val="20"/>
        </w:rPr>
        <w:t>DEZ</w:t>
      </w:r>
      <w:r w:rsidR="004D4933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50CD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das alíquotas dos Impostos Predial e Territorial Urbano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51094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0CDA" w:rsidRDefault="007E5EC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50CDA">
        <w:rPr>
          <w:rFonts w:ascii="Arial" w:hAnsi="Arial" w:cs="Arial"/>
          <w:sz w:val="20"/>
          <w:szCs w:val="20"/>
        </w:rPr>
        <w:t>Os artigos 116 e 118 da Lei nº 1129, de 27 de dezembro de 1979, alterada pela Lei nº 1.462, de 31 de outubro de 1984, passam a ter a seguinte redação: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39E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116.</w:t>
      </w:r>
      <w:proofErr w:type="gramEnd"/>
      <w:r>
        <w:rPr>
          <w:rFonts w:ascii="Arial" w:hAnsi="Arial" w:cs="Arial"/>
          <w:sz w:val="20"/>
          <w:szCs w:val="20"/>
        </w:rPr>
        <w:t xml:space="preserve"> O Imposto Predial será cobrado na base de 0,3% (três décimos por cento) do Valor Venal do prédio, mas nunca inferior a 20% do Valor-Base</w:t>
      </w:r>
      <w:r w:rsidR="00BB22EE">
        <w:rPr>
          <w:rFonts w:ascii="Arial" w:hAnsi="Arial" w:cs="Arial"/>
          <w:sz w:val="20"/>
          <w:szCs w:val="20"/>
        </w:rPr>
        <w:t>.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(...)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(...)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118. O </w:t>
      </w:r>
      <w:r w:rsidR="00E75A58">
        <w:rPr>
          <w:rFonts w:ascii="Arial" w:hAnsi="Arial" w:cs="Arial"/>
          <w:sz w:val="20"/>
          <w:szCs w:val="20"/>
        </w:rPr>
        <w:t>Impos</w:t>
      </w:r>
      <w:r w:rsidR="00E75A58">
        <w:rPr>
          <w:rFonts w:ascii="Arial" w:hAnsi="Arial" w:cs="Arial"/>
          <w:sz w:val="20"/>
          <w:szCs w:val="20"/>
        </w:rPr>
        <w:t>to</w:t>
      </w:r>
      <w:r w:rsidR="00E75A58">
        <w:rPr>
          <w:rFonts w:ascii="Arial" w:hAnsi="Arial" w:cs="Arial"/>
          <w:sz w:val="20"/>
          <w:szCs w:val="20"/>
        </w:rPr>
        <w:t xml:space="preserve"> Territorial Urbano</w:t>
      </w:r>
      <w:r w:rsidR="00E75A58">
        <w:rPr>
          <w:rFonts w:ascii="Arial" w:hAnsi="Arial" w:cs="Arial"/>
          <w:sz w:val="20"/>
          <w:szCs w:val="20"/>
        </w:rPr>
        <w:t xml:space="preserve"> será cobrado na base de 1,3% (um inteiro e três décimos por cento) do Valor Venal do terreno, mas nunca inferior a 45% do Valor-Base.</w:t>
      </w:r>
      <w:proofErr w:type="gramStart"/>
      <w:r w:rsidR="00E75A58">
        <w:rPr>
          <w:rFonts w:ascii="Arial" w:hAnsi="Arial" w:cs="Arial"/>
          <w:sz w:val="20"/>
          <w:szCs w:val="20"/>
        </w:rPr>
        <w:t>”</w:t>
      </w:r>
      <w:proofErr w:type="gramEnd"/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3D7F" w:rsidRDefault="00F210F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E75A58">
        <w:rPr>
          <w:rFonts w:ascii="Arial" w:hAnsi="Arial" w:cs="Arial"/>
          <w:sz w:val="20"/>
          <w:szCs w:val="20"/>
        </w:rPr>
        <w:t xml:space="preserve"> e seus efeitos a partir de 1º de janeiro de 1998</w:t>
      </w:r>
      <w:r w:rsidR="00F03D7F">
        <w:rPr>
          <w:rFonts w:ascii="Arial" w:hAnsi="Arial" w:cs="Arial"/>
          <w:sz w:val="20"/>
          <w:szCs w:val="20"/>
        </w:rPr>
        <w:t>.</w:t>
      </w:r>
    </w:p>
    <w:p w:rsidR="00F03D7F" w:rsidRDefault="00F03D7F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E75A58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F03D7F" w:rsidRPr="00F03D7F">
        <w:rPr>
          <w:rFonts w:ascii="Arial" w:hAnsi="Arial" w:cs="Arial"/>
          <w:b/>
          <w:sz w:val="20"/>
          <w:szCs w:val="20"/>
        </w:rPr>
        <w:t>º</w:t>
      </w:r>
      <w:r w:rsidR="00AE339E">
        <w:rPr>
          <w:rFonts w:ascii="Arial" w:hAnsi="Arial" w:cs="Arial"/>
          <w:sz w:val="20"/>
          <w:szCs w:val="20"/>
        </w:rPr>
        <w:t xml:space="preserve"> </w:t>
      </w:r>
      <w:r w:rsidR="00F03D7F">
        <w:rPr>
          <w:rFonts w:ascii="Arial" w:hAnsi="Arial" w:cs="Arial"/>
          <w:sz w:val="20"/>
          <w:szCs w:val="20"/>
        </w:rPr>
        <w:t>R</w:t>
      </w:r>
      <w:r w:rsidR="004B03E0">
        <w:rPr>
          <w:rFonts w:ascii="Arial" w:hAnsi="Arial" w:cs="Arial"/>
          <w:sz w:val="20"/>
          <w:szCs w:val="20"/>
        </w:rPr>
        <w:t>evoga</w:t>
      </w:r>
      <w:r w:rsidR="00F03D7F">
        <w:rPr>
          <w:rFonts w:ascii="Arial" w:hAnsi="Arial" w:cs="Arial"/>
          <w:sz w:val="20"/>
          <w:szCs w:val="20"/>
        </w:rPr>
        <w:t>m-se</w:t>
      </w:r>
      <w:r w:rsidR="00B223E0" w:rsidRPr="00B223E0">
        <w:rPr>
          <w:rFonts w:ascii="Arial" w:hAnsi="Arial" w:cs="Arial"/>
          <w:sz w:val="20"/>
          <w:szCs w:val="20"/>
        </w:rPr>
        <w:t xml:space="preserve"> as disposições</w:t>
      </w:r>
      <w:r w:rsidR="00F210F6">
        <w:rPr>
          <w:rFonts w:ascii="Arial" w:hAnsi="Arial" w:cs="Arial"/>
          <w:sz w:val="20"/>
          <w:szCs w:val="20"/>
        </w:rPr>
        <w:t xml:space="preserve"> em </w:t>
      </w:r>
      <w:r w:rsidR="00B223E0" w:rsidRPr="00B223E0">
        <w:rPr>
          <w:rFonts w:ascii="Arial" w:hAnsi="Arial" w:cs="Arial"/>
          <w:sz w:val="20"/>
          <w:szCs w:val="20"/>
        </w:rPr>
        <w:t>contrário</w:t>
      </w:r>
      <w:r w:rsidR="0065159A">
        <w:rPr>
          <w:rFonts w:ascii="Arial" w:hAnsi="Arial" w:cs="Arial"/>
          <w:sz w:val="20"/>
          <w:szCs w:val="20"/>
        </w:rPr>
        <w:t>, em especial a Lei nº 1.</w:t>
      </w:r>
      <w:r>
        <w:rPr>
          <w:rFonts w:ascii="Arial" w:hAnsi="Arial" w:cs="Arial"/>
          <w:sz w:val="20"/>
          <w:szCs w:val="20"/>
        </w:rPr>
        <w:t>462</w:t>
      </w:r>
      <w:r w:rsidR="0065159A">
        <w:rPr>
          <w:rFonts w:ascii="Arial" w:hAnsi="Arial" w:cs="Arial"/>
          <w:sz w:val="20"/>
          <w:szCs w:val="20"/>
        </w:rPr>
        <w:t>/84</w:t>
      </w:r>
      <w:r w:rsidR="00B223E0" w:rsidRPr="00B223E0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75A58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F03D7F">
        <w:rPr>
          <w:rFonts w:ascii="Arial" w:hAnsi="Arial" w:cs="Arial"/>
          <w:sz w:val="20"/>
          <w:szCs w:val="20"/>
        </w:rPr>
        <w:t>dez</w:t>
      </w:r>
      <w:r w:rsidR="004D4933">
        <w:rPr>
          <w:rFonts w:ascii="Arial" w:hAnsi="Arial" w:cs="Arial"/>
          <w:sz w:val="20"/>
          <w:szCs w:val="20"/>
        </w:rPr>
        <w:t xml:space="preserve">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2D" w:rsidRDefault="00823A2D" w:rsidP="009243B3">
      <w:pPr>
        <w:spacing w:after="0" w:line="240" w:lineRule="auto"/>
      </w:pPr>
      <w:r>
        <w:separator/>
      </w:r>
    </w:p>
  </w:endnote>
  <w:endnote w:type="continuationSeparator" w:id="0">
    <w:p w:rsidR="00823A2D" w:rsidRDefault="00823A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2D" w:rsidRDefault="00823A2D" w:rsidP="009243B3">
      <w:pPr>
        <w:spacing w:after="0" w:line="240" w:lineRule="auto"/>
      </w:pPr>
      <w:r>
        <w:separator/>
      </w:r>
    </w:p>
  </w:footnote>
  <w:footnote w:type="continuationSeparator" w:id="0">
    <w:p w:rsidR="00823A2D" w:rsidRDefault="00823A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469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23A2D"/>
    <w:rsid w:val="00830FB1"/>
    <w:rsid w:val="0083796D"/>
    <w:rsid w:val="00846DC3"/>
    <w:rsid w:val="00855D61"/>
    <w:rsid w:val="00876499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2019-04-27T16:31:00Z</dcterms:created>
  <dcterms:modified xsi:type="dcterms:W3CDTF">2019-04-27T16:37:00Z</dcterms:modified>
</cp:coreProperties>
</file>