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B130AF">
        <w:rPr>
          <w:rFonts w:ascii="Arial" w:hAnsi="Arial" w:cs="Arial"/>
          <w:b/>
          <w:sz w:val="20"/>
          <w:szCs w:val="20"/>
        </w:rPr>
        <w:t>97</w:t>
      </w:r>
      <w:r w:rsidR="00FD1B16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130AF">
        <w:rPr>
          <w:rFonts w:ascii="Arial" w:hAnsi="Arial" w:cs="Arial"/>
          <w:b/>
          <w:sz w:val="20"/>
          <w:szCs w:val="20"/>
        </w:rPr>
        <w:t>07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130AF">
        <w:rPr>
          <w:rFonts w:ascii="Arial" w:hAnsi="Arial" w:cs="Arial"/>
          <w:b/>
          <w:sz w:val="20"/>
          <w:szCs w:val="20"/>
        </w:rPr>
        <w:t>JUNHO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B06127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B130A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alterações de Tabelas</w:t>
      </w:r>
      <w:r w:rsidR="00511888">
        <w:rPr>
          <w:rFonts w:ascii="Arial" w:hAnsi="Arial" w:cs="Arial"/>
          <w:sz w:val="20"/>
          <w:szCs w:val="20"/>
        </w:rPr>
        <w:t xml:space="preserve"> e</w:t>
      </w:r>
      <w:r w:rsidR="003929D4">
        <w:rPr>
          <w:rFonts w:ascii="Arial" w:hAnsi="Arial" w:cs="Arial"/>
          <w:sz w:val="20"/>
          <w:szCs w:val="20"/>
        </w:rPr>
        <w:t xml:space="preserve"> dá outras providências</w:t>
      </w:r>
      <w:r w:rsidR="00BB22E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4B3AE0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1888">
        <w:rPr>
          <w:rFonts w:ascii="Arial" w:hAnsi="Arial" w:cs="Arial"/>
          <w:b/>
          <w:sz w:val="20"/>
          <w:szCs w:val="20"/>
        </w:rPr>
        <w:t>NO USO DAS ATRIBUIÇÕ</w:t>
      </w:r>
      <w:r w:rsidR="00510941">
        <w:rPr>
          <w:rFonts w:ascii="Arial" w:hAnsi="Arial" w:cs="Arial"/>
          <w:b/>
          <w:sz w:val="20"/>
          <w:szCs w:val="20"/>
        </w:rPr>
        <w:t xml:space="preserve">ES </w:t>
      </w:r>
      <w:r w:rsidR="00926550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29D4" w:rsidRDefault="007E5ECA" w:rsidP="00B13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130AF">
        <w:rPr>
          <w:rFonts w:ascii="Arial" w:hAnsi="Arial" w:cs="Arial"/>
          <w:sz w:val="20"/>
          <w:szCs w:val="20"/>
        </w:rPr>
        <w:t>A Tabela I e a Tabela II do Anexo II</w:t>
      </w:r>
      <w:r w:rsidR="003929D4">
        <w:rPr>
          <w:rFonts w:ascii="Arial" w:hAnsi="Arial" w:cs="Arial"/>
          <w:sz w:val="20"/>
          <w:szCs w:val="20"/>
        </w:rPr>
        <w:t xml:space="preserve"> </w:t>
      </w:r>
      <w:r w:rsidR="00B130AF">
        <w:rPr>
          <w:rFonts w:ascii="Arial" w:hAnsi="Arial" w:cs="Arial"/>
          <w:sz w:val="20"/>
          <w:szCs w:val="20"/>
        </w:rPr>
        <w:t>da Lei nº 041</w:t>
      </w:r>
      <w:r w:rsidR="00511888">
        <w:rPr>
          <w:rFonts w:ascii="Arial" w:hAnsi="Arial" w:cs="Arial"/>
          <w:sz w:val="20"/>
          <w:szCs w:val="20"/>
        </w:rPr>
        <w:t>, de 2</w:t>
      </w:r>
      <w:r w:rsidR="00B130AF">
        <w:rPr>
          <w:rFonts w:ascii="Arial" w:hAnsi="Arial" w:cs="Arial"/>
          <w:sz w:val="20"/>
          <w:szCs w:val="20"/>
        </w:rPr>
        <w:t>4</w:t>
      </w:r>
      <w:r w:rsidR="00511888">
        <w:rPr>
          <w:rFonts w:ascii="Arial" w:hAnsi="Arial" w:cs="Arial"/>
          <w:sz w:val="20"/>
          <w:szCs w:val="20"/>
        </w:rPr>
        <w:t xml:space="preserve"> de </w:t>
      </w:r>
      <w:r w:rsidR="00B130AF">
        <w:rPr>
          <w:rFonts w:ascii="Arial" w:hAnsi="Arial" w:cs="Arial"/>
          <w:sz w:val="20"/>
          <w:szCs w:val="20"/>
        </w:rPr>
        <w:t>maio</w:t>
      </w:r>
      <w:r w:rsidR="00511888">
        <w:rPr>
          <w:rFonts w:ascii="Arial" w:hAnsi="Arial" w:cs="Arial"/>
          <w:sz w:val="20"/>
          <w:szCs w:val="20"/>
        </w:rPr>
        <w:t xml:space="preserve"> de 19</w:t>
      </w:r>
      <w:r w:rsidR="00B130AF">
        <w:rPr>
          <w:rFonts w:ascii="Arial" w:hAnsi="Arial" w:cs="Arial"/>
          <w:sz w:val="20"/>
          <w:szCs w:val="20"/>
        </w:rPr>
        <w:t>94</w:t>
      </w:r>
      <w:r w:rsidR="003929D4">
        <w:rPr>
          <w:rFonts w:ascii="Arial" w:hAnsi="Arial" w:cs="Arial"/>
          <w:sz w:val="20"/>
          <w:szCs w:val="20"/>
        </w:rPr>
        <w:t xml:space="preserve">, </w:t>
      </w:r>
      <w:r w:rsidR="00511888">
        <w:rPr>
          <w:rFonts w:ascii="Arial" w:hAnsi="Arial" w:cs="Arial"/>
          <w:sz w:val="20"/>
          <w:szCs w:val="20"/>
        </w:rPr>
        <w:t>passa</w:t>
      </w:r>
      <w:r w:rsidR="00B130AF">
        <w:rPr>
          <w:rFonts w:ascii="Arial" w:hAnsi="Arial" w:cs="Arial"/>
          <w:sz w:val="20"/>
          <w:szCs w:val="20"/>
        </w:rPr>
        <w:t>m</w:t>
      </w:r>
      <w:r w:rsidR="003929D4">
        <w:rPr>
          <w:rFonts w:ascii="Arial" w:hAnsi="Arial" w:cs="Arial"/>
          <w:sz w:val="20"/>
          <w:szCs w:val="20"/>
        </w:rPr>
        <w:t xml:space="preserve"> a </w:t>
      </w:r>
      <w:proofErr w:type="gramStart"/>
      <w:r w:rsidR="00B130AF">
        <w:rPr>
          <w:rFonts w:ascii="Arial" w:hAnsi="Arial" w:cs="Arial"/>
          <w:sz w:val="20"/>
          <w:szCs w:val="20"/>
        </w:rPr>
        <w:t>ser</w:t>
      </w:r>
      <w:proofErr w:type="gramEnd"/>
      <w:r w:rsidR="00B130AF">
        <w:rPr>
          <w:rFonts w:ascii="Arial" w:hAnsi="Arial" w:cs="Arial"/>
          <w:sz w:val="20"/>
          <w:szCs w:val="20"/>
        </w:rPr>
        <w:t xml:space="preserve"> as constantes do Anexo I, Tabelas I e II desta Lei</w:t>
      </w:r>
      <w:r w:rsidR="00511888">
        <w:rPr>
          <w:rFonts w:ascii="Arial" w:hAnsi="Arial" w:cs="Arial"/>
          <w:sz w:val="20"/>
          <w:szCs w:val="20"/>
        </w:rPr>
        <w:t>.</w:t>
      </w:r>
    </w:p>
    <w:p w:rsidR="00511888" w:rsidRDefault="00511888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1888" w:rsidRDefault="00B130AF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30AF">
        <w:rPr>
          <w:rFonts w:ascii="Arial" w:hAnsi="Arial" w:cs="Arial"/>
          <w:b/>
          <w:sz w:val="20"/>
          <w:szCs w:val="20"/>
        </w:rPr>
        <w:t>Parágrafo único.</w:t>
      </w:r>
      <w:r w:rsidR="007E7B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Ficam criados os cargos que constem da situação nova e que não integram a situação atual nas Tabelas do Anexo I.</w:t>
      </w:r>
    </w:p>
    <w:p w:rsidR="003929D4" w:rsidRDefault="003929D4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30AF" w:rsidRPr="00B130AF" w:rsidRDefault="00F14ABB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130AF">
        <w:rPr>
          <w:rFonts w:ascii="Arial" w:hAnsi="Arial" w:cs="Arial"/>
          <w:sz w:val="20"/>
          <w:szCs w:val="20"/>
        </w:rPr>
        <w:t>As despesas decorrentes desta Lei serão cobertas</w:t>
      </w:r>
      <w:proofErr w:type="gramStart"/>
      <w:r w:rsidR="00B130AF">
        <w:rPr>
          <w:rFonts w:ascii="Arial" w:hAnsi="Arial" w:cs="Arial"/>
          <w:sz w:val="20"/>
          <w:szCs w:val="20"/>
        </w:rPr>
        <w:t xml:space="preserve">  </w:t>
      </w:r>
      <w:proofErr w:type="gramEnd"/>
      <w:r w:rsidR="00B130AF">
        <w:rPr>
          <w:rFonts w:ascii="Arial" w:hAnsi="Arial" w:cs="Arial"/>
          <w:sz w:val="20"/>
          <w:szCs w:val="20"/>
        </w:rPr>
        <w:t>pelas dotações próprias do orçamento vigente, suplementadas se necessário.</w:t>
      </w:r>
    </w:p>
    <w:p w:rsidR="00B130AF" w:rsidRDefault="00B130AF" w:rsidP="00D64A2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21630" w:rsidRDefault="00E413AF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13A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64A28" w:rsidRPr="00B223E0">
        <w:rPr>
          <w:rFonts w:ascii="Arial" w:hAnsi="Arial" w:cs="Arial"/>
          <w:sz w:val="20"/>
          <w:szCs w:val="20"/>
        </w:rPr>
        <w:t>Esta Lei entrará em vigor na data de sua publicação</w:t>
      </w:r>
      <w:r w:rsidR="0015205C">
        <w:rPr>
          <w:rFonts w:ascii="Arial" w:hAnsi="Arial" w:cs="Arial"/>
          <w:sz w:val="20"/>
          <w:szCs w:val="20"/>
        </w:rPr>
        <w:t xml:space="preserve">, </w:t>
      </w:r>
      <w:r w:rsidR="007E7B7A">
        <w:rPr>
          <w:rFonts w:ascii="Arial" w:hAnsi="Arial" w:cs="Arial"/>
          <w:sz w:val="20"/>
          <w:szCs w:val="20"/>
        </w:rPr>
        <w:t>revogadas as disposições em contrário</w:t>
      </w:r>
      <w:r w:rsidR="00221630">
        <w:rPr>
          <w:rFonts w:ascii="Arial" w:hAnsi="Arial" w:cs="Arial"/>
          <w:sz w:val="20"/>
          <w:szCs w:val="20"/>
        </w:rPr>
        <w:t>.</w:t>
      </w:r>
    </w:p>
    <w:p w:rsidR="004D4933" w:rsidRDefault="004D4933" w:rsidP="009265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550" w:rsidRPr="0012547D" w:rsidRDefault="00926550" w:rsidP="009265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413AF">
        <w:rPr>
          <w:rFonts w:ascii="Arial" w:hAnsi="Arial" w:cs="Arial"/>
          <w:sz w:val="20"/>
          <w:szCs w:val="20"/>
        </w:rPr>
        <w:t>07</w:t>
      </w:r>
      <w:r>
        <w:rPr>
          <w:rFonts w:ascii="Arial" w:hAnsi="Arial" w:cs="Arial"/>
          <w:sz w:val="20"/>
          <w:szCs w:val="20"/>
        </w:rPr>
        <w:t xml:space="preserve"> de </w:t>
      </w:r>
      <w:r w:rsidR="00E413AF">
        <w:rPr>
          <w:rFonts w:ascii="Arial" w:hAnsi="Arial" w:cs="Arial"/>
          <w:sz w:val="20"/>
          <w:szCs w:val="20"/>
        </w:rPr>
        <w:t>junho</w:t>
      </w:r>
      <w:bookmarkStart w:id="0" w:name="_GoBack"/>
      <w:bookmarkEnd w:id="0"/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926550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6E29E1" w:rsidRDefault="006E29E1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29E1" w:rsidRDefault="006E29E1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</w:t>
      </w:r>
      <w:r w:rsidR="0022163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FB5829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5A1528"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D39" w:rsidRDefault="00912D39" w:rsidP="009243B3">
      <w:pPr>
        <w:spacing w:after="0" w:line="240" w:lineRule="auto"/>
      </w:pPr>
      <w:r>
        <w:separator/>
      </w:r>
    </w:p>
  </w:endnote>
  <w:endnote w:type="continuationSeparator" w:id="0">
    <w:p w:rsidR="00912D39" w:rsidRDefault="00912D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D39" w:rsidRDefault="00912D39" w:rsidP="009243B3">
      <w:pPr>
        <w:spacing w:after="0" w:line="240" w:lineRule="auto"/>
      </w:pPr>
      <w:r>
        <w:separator/>
      </w:r>
    </w:p>
  </w:footnote>
  <w:footnote w:type="continuationSeparator" w:id="0">
    <w:p w:rsidR="00912D39" w:rsidRDefault="00912D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379383A"/>
    <w:multiLevelType w:val="hybridMultilevel"/>
    <w:tmpl w:val="67C4386E"/>
    <w:lvl w:ilvl="0" w:tplc="796A4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0F84EA1"/>
    <w:multiLevelType w:val="hybridMultilevel"/>
    <w:tmpl w:val="981E5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71DF"/>
    <w:rsid w:val="000229CA"/>
    <w:rsid w:val="00041101"/>
    <w:rsid w:val="00071FEC"/>
    <w:rsid w:val="00083DA7"/>
    <w:rsid w:val="000A654D"/>
    <w:rsid w:val="000B12C9"/>
    <w:rsid w:val="000B3980"/>
    <w:rsid w:val="000C0192"/>
    <w:rsid w:val="000E1467"/>
    <w:rsid w:val="00101BC0"/>
    <w:rsid w:val="00125382"/>
    <w:rsid w:val="0012547D"/>
    <w:rsid w:val="0012556D"/>
    <w:rsid w:val="0015205C"/>
    <w:rsid w:val="00156B9F"/>
    <w:rsid w:val="0017627F"/>
    <w:rsid w:val="001A122E"/>
    <w:rsid w:val="001A4A55"/>
    <w:rsid w:val="001B3140"/>
    <w:rsid w:val="001B3BD4"/>
    <w:rsid w:val="001C3277"/>
    <w:rsid w:val="001D43C8"/>
    <w:rsid w:val="001D5B2F"/>
    <w:rsid w:val="001E6101"/>
    <w:rsid w:val="001F028B"/>
    <w:rsid w:val="002012D7"/>
    <w:rsid w:val="002023FA"/>
    <w:rsid w:val="00210920"/>
    <w:rsid w:val="00221630"/>
    <w:rsid w:val="00222685"/>
    <w:rsid w:val="00250CDA"/>
    <w:rsid w:val="00261409"/>
    <w:rsid w:val="0027607A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929D4"/>
    <w:rsid w:val="003A4918"/>
    <w:rsid w:val="003C0805"/>
    <w:rsid w:val="003C5787"/>
    <w:rsid w:val="003D55A4"/>
    <w:rsid w:val="003D7FCC"/>
    <w:rsid w:val="003F0F0E"/>
    <w:rsid w:val="003F13C3"/>
    <w:rsid w:val="003F4DB4"/>
    <w:rsid w:val="0042303E"/>
    <w:rsid w:val="00466ACF"/>
    <w:rsid w:val="00475E5E"/>
    <w:rsid w:val="0048361F"/>
    <w:rsid w:val="004A4C2A"/>
    <w:rsid w:val="004A7210"/>
    <w:rsid w:val="004B03E0"/>
    <w:rsid w:val="004B2ABE"/>
    <w:rsid w:val="004B3AE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11888"/>
    <w:rsid w:val="00532C37"/>
    <w:rsid w:val="005864F7"/>
    <w:rsid w:val="005A1528"/>
    <w:rsid w:val="005A317C"/>
    <w:rsid w:val="005B3F4C"/>
    <w:rsid w:val="005B5D17"/>
    <w:rsid w:val="005C1B98"/>
    <w:rsid w:val="005C7FC7"/>
    <w:rsid w:val="005D7D77"/>
    <w:rsid w:val="005E38CA"/>
    <w:rsid w:val="005F3A88"/>
    <w:rsid w:val="00626B12"/>
    <w:rsid w:val="00631585"/>
    <w:rsid w:val="0065159A"/>
    <w:rsid w:val="0066599D"/>
    <w:rsid w:val="00670958"/>
    <w:rsid w:val="006717D7"/>
    <w:rsid w:val="00680972"/>
    <w:rsid w:val="00682928"/>
    <w:rsid w:val="006832C4"/>
    <w:rsid w:val="00693531"/>
    <w:rsid w:val="00695746"/>
    <w:rsid w:val="00697DEF"/>
    <w:rsid w:val="006A432C"/>
    <w:rsid w:val="006B12AB"/>
    <w:rsid w:val="006C0105"/>
    <w:rsid w:val="006C76B1"/>
    <w:rsid w:val="006D0F49"/>
    <w:rsid w:val="006D364D"/>
    <w:rsid w:val="006E29E1"/>
    <w:rsid w:val="006F2469"/>
    <w:rsid w:val="00704558"/>
    <w:rsid w:val="007167F9"/>
    <w:rsid w:val="00756268"/>
    <w:rsid w:val="00770BAA"/>
    <w:rsid w:val="00777E90"/>
    <w:rsid w:val="00784749"/>
    <w:rsid w:val="0078679C"/>
    <w:rsid w:val="007A16E3"/>
    <w:rsid w:val="007E5ECA"/>
    <w:rsid w:val="007E7B7A"/>
    <w:rsid w:val="007E7FF7"/>
    <w:rsid w:val="0081386B"/>
    <w:rsid w:val="00815017"/>
    <w:rsid w:val="0082154A"/>
    <w:rsid w:val="008237F9"/>
    <w:rsid w:val="00830FB1"/>
    <w:rsid w:val="0083770D"/>
    <w:rsid w:val="0083796D"/>
    <w:rsid w:val="00846DC3"/>
    <w:rsid w:val="00854299"/>
    <w:rsid w:val="00855D61"/>
    <w:rsid w:val="00876499"/>
    <w:rsid w:val="008947EE"/>
    <w:rsid w:val="008A33E9"/>
    <w:rsid w:val="008B7A80"/>
    <w:rsid w:val="008C561F"/>
    <w:rsid w:val="008E5D23"/>
    <w:rsid w:val="008F2410"/>
    <w:rsid w:val="008F2C47"/>
    <w:rsid w:val="008F7910"/>
    <w:rsid w:val="00912D39"/>
    <w:rsid w:val="00916E21"/>
    <w:rsid w:val="009243B3"/>
    <w:rsid w:val="00926550"/>
    <w:rsid w:val="009438B1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467B"/>
    <w:rsid w:val="009E6101"/>
    <w:rsid w:val="009F6656"/>
    <w:rsid w:val="009F73DF"/>
    <w:rsid w:val="00A118A9"/>
    <w:rsid w:val="00A30383"/>
    <w:rsid w:val="00A50E27"/>
    <w:rsid w:val="00A50E5C"/>
    <w:rsid w:val="00A51866"/>
    <w:rsid w:val="00A848E6"/>
    <w:rsid w:val="00A93F2E"/>
    <w:rsid w:val="00AA0F48"/>
    <w:rsid w:val="00AB1088"/>
    <w:rsid w:val="00AC4600"/>
    <w:rsid w:val="00AE19E8"/>
    <w:rsid w:val="00AE226A"/>
    <w:rsid w:val="00AE339E"/>
    <w:rsid w:val="00AE769D"/>
    <w:rsid w:val="00B04C76"/>
    <w:rsid w:val="00B06127"/>
    <w:rsid w:val="00B130AF"/>
    <w:rsid w:val="00B133FC"/>
    <w:rsid w:val="00B215BD"/>
    <w:rsid w:val="00B223E0"/>
    <w:rsid w:val="00B4652C"/>
    <w:rsid w:val="00B4659E"/>
    <w:rsid w:val="00B710B2"/>
    <w:rsid w:val="00B87E90"/>
    <w:rsid w:val="00B970BB"/>
    <w:rsid w:val="00BA6DAD"/>
    <w:rsid w:val="00BB22EE"/>
    <w:rsid w:val="00BB7B73"/>
    <w:rsid w:val="00BC4C2B"/>
    <w:rsid w:val="00BE7C9D"/>
    <w:rsid w:val="00BF41E7"/>
    <w:rsid w:val="00C276DF"/>
    <w:rsid w:val="00C45290"/>
    <w:rsid w:val="00C45FC8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64A28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413AF"/>
    <w:rsid w:val="00E55B53"/>
    <w:rsid w:val="00E7247F"/>
    <w:rsid w:val="00E75A58"/>
    <w:rsid w:val="00E76F6A"/>
    <w:rsid w:val="00EA43EE"/>
    <w:rsid w:val="00EC5676"/>
    <w:rsid w:val="00EC5C60"/>
    <w:rsid w:val="00ED7368"/>
    <w:rsid w:val="00ED7CDF"/>
    <w:rsid w:val="00EE0FBE"/>
    <w:rsid w:val="00EF2C6B"/>
    <w:rsid w:val="00EF3E06"/>
    <w:rsid w:val="00EF62CB"/>
    <w:rsid w:val="00F013E2"/>
    <w:rsid w:val="00F02B54"/>
    <w:rsid w:val="00F03D7F"/>
    <w:rsid w:val="00F04EDA"/>
    <w:rsid w:val="00F14ABB"/>
    <w:rsid w:val="00F210F6"/>
    <w:rsid w:val="00F303FD"/>
    <w:rsid w:val="00F4474F"/>
    <w:rsid w:val="00F676D3"/>
    <w:rsid w:val="00F86179"/>
    <w:rsid w:val="00F9339F"/>
    <w:rsid w:val="00FA4143"/>
    <w:rsid w:val="00FA6CF2"/>
    <w:rsid w:val="00FB40DC"/>
    <w:rsid w:val="00FB5829"/>
    <w:rsid w:val="00FD1B16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2019-04-28T02:19:00Z</dcterms:created>
  <dcterms:modified xsi:type="dcterms:W3CDTF">2019-04-28T02:30:00Z</dcterms:modified>
</cp:coreProperties>
</file>