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B866C1">
        <w:rPr>
          <w:rFonts w:ascii="Arial" w:hAnsi="Arial" w:cs="Arial"/>
          <w:b/>
          <w:sz w:val="20"/>
          <w:szCs w:val="20"/>
        </w:rPr>
        <w:t>12</w:t>
      </w:r>
      <w:r w:rsidR="00C57001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C05F7">
        <w:rPr>
          <w:rFonts w:ascii="Arial" w:hAnsi="Arial" w:cs="Arial"/>
          <w:b/>
          <w:sz w:val="20"/>
          <w:szCs w:val="20"/>
        </w:rPr>
        <w:t>2</w:t>
      </w:r>
      <w:r w:rsidR="00C57001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866C1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570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proofErr w:type="gramStart"/>
      <w:r>
        <w:rPr>
          <w:rFonts w:ascii="Arial" w:hAnsi="Arial" w:cs="Arial"/>
          <w:sz w:val="20"/>
          <w:szCs w:val="20"/>
        </w:rPr>
        <w:t>a dispositivos</w:t>
      </w:r>
      <w:proofErr w:type="gramEnd"/>
      <w:r>
        <w:rPr>
          <w:rFonts w:ascii="Arial" w:hAnsi="Arial" w:cs="Arial"/>
          <w:sz w:val="20"/>
          <w:szCs w:val="20"/>
        </w:rPr>
        <w:t xml:space="preserve"> do Código Tributário Municipal</w:t>
      </w:r>
      <w:r w:rsidR="00B866C1">
        <w:rPr>
          <w:rFonts w:ascii="Arial" w:hAnsi="Arial" w:cs="Arial"/>
          <w:sz w:val="20"/>
          <w:szCs w:val="20"/>
        </w:rPr>
        <w:t xml:space="preserve">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001" w:rsidRDefault="007E5ECA" w:rsidP="008B3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C57001">
        <w:rPr>
          <w:rFonts w:ascii="Arial" w:hAnsi="Arial" w:cs="Arial"/>
          <w:sz w:val="20"/>
          <w:szCs w:val="20"/>
        </w:rPr>
        <w:t>O artigo 70 da Lei nº 1.129, de 27 de dezembro de 1979, passa a vigorar com a seguinte redação:</w:t>
      </w:r>
    </w:p>
    <w:p w:rsidR="00C57001" w:rsidRDefault="00C57001" w:rsidP="008B3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C57001" w:rsidP="008B36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70. Fica estabelecida a alíquota de 0,5% (meio por cento) incidente sobre o preço dos serviços, para todos os itens da Lista de que trata o artigo 87, salvo para as atividades dos itens 3, 33, 34 e 97 em que a alíquota será de 1% (um por cento), a atividade prevista no item 60, em que a alíquota será 5% (cinco por cento) e; a atividade prevista nos itens 95 e 96, em que a alíquota será de 3% (três por cento)</w:t>
      </w:r>
      <w:r w:rsidR="008B36D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B866C1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B866C1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C57001">
        <w:rPr>
          <w:rFonts w:ascii="Arial" w:hAnsi="Arial" w:cs="Arial"/>
          <w:sz w:val="20"/>
          <w:szCs w:val="20"/>
        </w:rPr>
        <w:t>, e seus efeitos a partir de 1º de janeiro de 2003, revogadas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C05F7">
        <w:rPr>
          <w:rFonts w:ascii="Arial" w:hAnsi="Arial" w:cs="Arial"/>
          <w:sz w:val="20"/>
          <w:szCs w:val="20"/>
        </w:rPr>
        <w:t>2</w:t>
      </w:r>
      <w:r w:rsidR="00C57001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B866C1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72" w:rsidRDefault="00231572" w:rsidP="009243B3">
      <w:pPr>
        <w:spacing w:after="0" w:line="240" w:lineRule="auto"/>
      </w:pPr>
      <w:r>
        <w:separator/>
      </w:r>
    </w:p>
  </w:endnote>
  <w:endnote w:type="continuationSeparator" w:id="0">
    <w:p w:rsidR="00231572" w:rsidRDefault="0023157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72" w:rsidRDefault="00231572" w:rsidP="009243B3">
      <w:pPr>
        <w:spacing w:after="0" w:line="240" w:lineRule="auto"/>
      </w:pPr>
      <w:r>
        <w:separator/>
      </w:r>
    </w:p>
  </w:footnote>
  <w:footnote w:type="continuationSeparator" w:id="0">
    <w:p w:rsidR="00231572" w:rsidRDefault="0023157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10920"/>
    <w:rsid w:val="00222685"/>
    <w:rsid w:val="00231572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4918"/>
    <w:rsid w:val="003C0805"/>
    <w:rsid w:val="003D55A4"/>
    <w:rsid w:val="003D7FCC"/>
    <w:rsid w:val="003E64D8"/>
    <w:rsid w:val="003F0F0E"/>
    <w:rsid w:val="003F13C3"/>
    <w:rsid w:val="003F4DB4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2019-05-04T01:50:00Z</dcterms:created>
  <dcterms:modified xsi:type="dcterms:W3CDTF">2019-05-04T01:57:00Z</dcterms:modified>
</cp:coreProperties>
</file>