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19" w:rsidRPr="00194B9C" w:rsidRDefault="00194B9C" w:rsidP="00194B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4B9C">
        <w:rPr>
          <w:rFonts w:ascii="Arial" w:hAnsi="Arial" w:cs="Arial"/>
          <w:b/>
          <w:sz w:val="20"/>
          <w:szCs w:val="20"/>
        </w:rPr>
        <w:t xml:space="preserve">LEI COMPLEMENTAR N° 179, DE </w:t>
      </w:r>
      <w:proofErr w:type="gramStart"/>
      <w:r w:rsidRPr="00194B9C">
        <w:rPr>
          <w:rFonts w:ascii="Arial" w:hAnsi="Arial" w:cs="Arial"/>
          <w:b/>
          <w:sz w:val="20"/>
          <w:szCs w:val="20"/>
        </w:rPr>
        <w:t>8</w:t>
      </w:r>
      <w:proofErr w:type="gramEnd"/>
      <w:r w:rsidRPr="00194B9C">
        <w:rPr>
          <w:rFonts w:ascii="Arial" w:hAnsi="Arial" w:cs="Arial"/>
          <w:b/>
          <w:sz w:val="20"/>
          <w:szCs w:val="20"/>
        </w:rPr>
        <w:t xml:space="preserve"> DE DEZEMBRO DE 2006</w:t>
      </w:r>
    </w:p>
    <w:p w:rsidR="00B92819" w:rsidRPr="00194B9C" w:rsidRDefault="00B92819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B92819" w:rsidP="00194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sz w:val="20"/>
          <w:szCs w:val="20"/>
        </w:rPr>
        <w:t>Autoriza o Executivo a doar área de terreno ao SERVIÇO SOCIAL DA INDÚSTRIA - SESI, Departamento Regional de São Paulo.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94B9C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b/>
          <w:sz w:val="20"/>
          <w:szCs w:val="20"/>
        </w:rPr>
        <w:t>Art.</w:t>
      </w:r>
      <w:r w:rsidR="00B92819" w:rsidRPr="00194B9C">
        <w:rPr>
          <w:rFonts w:ascii="Arial" w:hAnsi="Arial" w:cs="Arial"/>
          <w:b/>
          <w:sz w:val="20"/>
          <w:szCs w:val="20"/>
        </w:rPr>
        <w:t xml:space="preserve"> </w:t>
      </w:r>
      <w:r w:rsidRPr="00194B9C">
        <w:rPr>
          <w:rFonts w:ascii="Arial" w:hAnsi="Arial" w:cs="Arial"/>
          <w:b/>
          <w:sz w:val="20"/>
          <w:szCs w:val="20"/>
        </w:rPr>
        <w:t>1º</w:t>
      </w:r>
      <w:r w:rsidR="00B92819" w:rsidRPr="00194B9C">
        <w:rPr>
          <w:rFonts w:ascii="Arial" w:hAnsi="Arial" w:cs="Arial"/>
          <w:sz w:val="20"/>
          <w:szCs w:val="20"/>
        </w:rPr>
        <w:t xml:space="preserve"> Fica o Executivo Municipal autorizado a transferir por doação, SERVIÇO SOCIAL DA INDÚSTRIA - SESI, Departamento Regional de São Paulo, a área de terreno na Avenida Cabo Guido Boni, e Ruas Francisco </w:t>
      </w:r>
      <w:r w:rsidRPr="00194B9C">
        <w:rPr>
          <w:rFonts w:ascii="Arial" w:hAnsi="Arial" w:cs="Arial"/>
          <w:sz w:val="20"/>
          <w:szCs w:val="20"/>
        </w:rPr>
        <w:t>Antônio</w:t>
      </w:r>
      <w:r w:rsidR="00B92819" w:rsidRPr="00194B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92819" w:rsidRPr="00194B9C">
        <w:rPr>
          <w:rFonts w:ascii="Arial" w:hAnsi="Arial" w:cs="Arial"/>
          <w:sz w:val="20"/>
          <w:szCs w:val="20"/>
        </w:rPr>
        <w:t>Zeller</w:t>
      </w:r>
      <w:proofErr w:type="spellEnd"/>
      <w:r w:rsidR="00B92819" w:rsidRPr="00194B9C">
        <w:rPr>
          <w:rFonts w:ascii="Arial" w:hAnsi="Arial" w:cs="Arial"/>
          <w:sz w:val="20"/>
          <w:szCs w:val="20"/>
        </w:rPr>
        <w:t xml:space="preserve"> e </w:t>
      </w:r>
      <w:r w:rsidRPr="00194B9C">
        <w:rPr>
          <w:rFonts w:ascii="Arial" w:hAnsi="Arial" w:cs="Arial"/>
          <w:sz w:val="20"/>
          <w:szCs w:val="20"/>
        </w:rPr>
        <w:t>Antônio</w:t>
      </w:r>
      <w:r w:rsidR="00B92819" w:rsidRPr="00194B9C">
        <w:rPr>
          <w:rFonts w:ascii="Arial" w:hAnsi="Arial" w:cs="Arial"/>
          <w:sz w:val="20"/>
          <w:szCs w:val="20"/>
        </w:rPr>
        <w:t xml:space="preserve"> Bernardino Corrêa, localizadas no loteamento denominado Jardim Juliana, conforme "Croqui" Anexo da presente Lei, e com as medidas e confrontações contidas dentro do seguinte roteiro: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B92819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sz w:val="20"/>
          <w:szCs w:val="20"/>
        </w:rPr>
        <w:t xml:space="preserve">"Inicia-se no marco </w:t>
      </w:r>
      <w:proofErr w:type="gramStart"/>
      <w:r w:rsidRPr="00194B9C">
        <w:rPr>
          <w:rFonts w:ascii="Arial" w:hAnsi="Arial" w:cs="Arial"/>
          <w:sz w:val="20"/>
          <w:szCs w:val="20"/>
        </w:rPr>
        <w:t>1</w:t>
      </w:r>
      <w:proofErr w:type="gramEnd"/>
      <w:r w:rsidRPr="00194B9C">
        <w:rPr>
          <w:rFonts w:ascii="Arial" w:hAnsi="Arial" w:cs="Arial"/>
          <w:sz w:val="20"/>
          <w:szCs w:val="20"/>
        </w:rPr>
        <w:t xml:space="preserve">, localizado junto a Rua </w:t>
      </w:r>
      <w:r w:rsidR="00194B9C" w:rsidRPr="00194B9C">
        <w:rPr>
          <w:rFonts w:ascii="Arial" w:hAnsi="Arial" w:cs="Arial"/>
          <w:sz w:val="20"/>
          <w:szCs w:val="20"/>
        </w:rPr>
        <w:t>Antônio</w:t>
      </w:r>
      <w:r w:rsidRPr="00194B9C">
        <w:rPr>
          <w:rFonts w:ascii="Arial" w:hAnsi="Arial" w:cs="Arial"/>
          <w:sz w:val="20"/>
          <w:szCs w:val="20"/>
        </w:rPr>
        <w:t xml:space="preserve"> Bernardino Corrêa, na divisa com propriedade de Imobiliária Bom Pastor, deste ponto segue pela medida de 4,15m até o marco </w:t>
      </w:r>
      <w:r w:rsidR="00194B9C" w:rsidRPr="00194B9C">
        <w:rPr>
          <w:rFonts w:ascii="Arial" w:hAnsi="Arial" w:cs="Arial"/>
          <w:sz w:val="20"/>
          <w:szCs w:val="20"/>
        </w:rPr>
        <w:t>2, daí segue em curva de 33,58m</w:t>
      </w:r>
      <w:r w:rsidRPr="00194B9C">
        <w:rPr>
          <w:rFonts w:ascii="Arial" w:hAnsi="Arial" w:cs="Arial"/>
          <w:sz w:val="20"/>
          <w:szCs w:val="20"/>
        </w:rPr>
        <w:t xml:space="preserve"> até o marco 3; também com frente para a Rua </w:t>
      </w:r>
      <w:r w:rsidR="00194B9C" w:rsidRPr="00194B9C">
        <w:rPr>
          <w:rFonts w:ascii="Arial" w:hAnsi="Arial" w:cs="Arial"/>
          <w:sz w:val="20"/>
          <w:szCs w:val="20"/>
        </w:rPr>
        <w:t>Antônio</w:t>
      </w:r>
      <w:r w:rsidRPr="00194B9C">
        <w:rPr>
          <w:rFonts w:ascii="Arial" w:hAnsi="Arial" w:cs="Arial"/>
          <w:sz w:val="20"/>
          <w:szCs w:val="20"/>
        </w:rPr>
        <w:t xml:space="preserve"> Bernardino Corrêa, daí segue ainda margeando a dita rua, em curva de 29,80m até atingir o marco 4, e mais 73,00m até o marco 5, em reta para a Rua </w:t>
      </w:r>
      <w:r w:rsidR="00194B9C" w:rsidRPr="00194B9C">
        <w:rPr>
          <w:rFonts w:ascii="Arial" w:hAnsi="Arial" w:cs="Arial"/>
          <w:sz w:val="20"/>
          <w:szCs w:val="20"/>
        </w:rPr>
        <w:t>Antônio</w:t>
      </w:r>
      <w:r w:rsidRPr="00194B9C">
        <w:rPr>
          <w:rFonts w:ascii="Arial" w:hAnsi="Arial" w:cs="Arial"/>
          <w:sz w:val="20"/>
          <w:szCs w:val="20"/>
        </w:rPr>
        <w:t xml:space="preserve"> Bernardino Corrêa, depois mede 14,14m do marco 5 ao marco 6, em curva na esquina formada com a Avenida Cabo Guido Boni, do marco 6 vai ao marco 7 em linha reta de 84,39m com frente para a Avenida Cabo Guido Boni; daí segue em curva de 14,58m do marco 7 ao marco 8, na esquina com a Rua Francisco </w:t>
      </w:r>
      <w:r w:rsidR="00194B9C" w:rsidRPr="00194B9C">
        <w:rPr>
          <w:rFonts w:ascii="Arial" w:hAnsi="Arial" w:cs="Arial"/>
          <w:sz w:val="20"/>
          <w:szCs w:val="20"/>
        </w:rPr>
        <w:t>Antônio</w:t>
      </w:r>
      <w:r w:rsidRPr="00194B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B9C">
        <w:rPr>
          <w:rFonts w:ascii="Arial" w:hAnsi="Arial" w:cs="Arial"/>
          <w:sz w:val="20"/>
          <w:szCs w:val="20"/>
        </w:rPr>
        <w:t>Zeller</w:t>
      </w:r>
      <w:proofErr w:type="spellEnd"/>
      <w:r w:rsidRPr="00194B9C">
        <w:rPr>
          <w:rFonts w:ascii="Arial" w:hAnsi="Arial" w:cs="Arial"/>
          <w:sz w:val="20"/>
          <w:szCs w:val="20"/>
        </w:rPr>
        <w:t xml:space="preserve">, depois segue ao marco 9, em reta de 112,24m e deste ponto segue ao marco 10 em curva de 34,79m ainda com frente para a Rua Francisco </w:t>
      </w:r>
      <w:r w:rsidR="00194B9C" w:rsidRPr="00194B9C">
        <w:rPr>
          <w:rFonts w:ascii="Arial" w:hAnsi="Arial" w:cs="Arial"/>
          <w:sz w:val="20"/>
          <w:szCs w:val="20"/>
        </w:rPr>
        <w:t xml:space="preserve">Antônio </w:t>
      </w:r>
      <w:proofErr w:type="spellStart"/>
      <w:r w:rsidR="00194B9C" w:rsidRPr="00194B9C">
        <w:rPr>
          <w:rFonts w:ascii="Arial" w:hAnsi="Arial" w:cs="Arial"/>
          <w:sz w:val="20"/>
          <w:szCs w:val="20"/>
        </w:rPr>
        <w:t>Zell</w:t>
      </w:r>
      <w:r w:rsidRPr="00194B9C">
        <w:rPr>
          <w:rFonts w:ascii="Arial" w:hAnsi="Arial" w:cs="Arial"/>
          <w:sz w:val="20"/>
          <w:szCs w:val="20"/>
        </w:rPr>
        <w:t>er</w:t>
      </w:r>
      <w:proofErr w:type="spellEnd"/>
      <w:r w:rsidRPr="00194B9C">
        <w:rPr>
          <w:rFonts w:ascii="Arial" w:hAnsi="Arial" w:cs="Arial"/>
          <w:sz w:val="20"/>
          <w:szCs w:val="20"/>
        </w:rPr>
        <w:t>, do marco 10 segue até o marco 11, percorrendo a distância de 9,03m em curva, também margeando a referida rua, e daí segue até o marco 12 pela distância de 21,23m com frente para a Rua Prudente de Moraes, e então retorna ao ponto iniciai no marco 1, seguindo pela distância de 106,98m, onde divisa com propriedade de Imobiliária Bom Pastor, e o terren</w:t>
      </w:r>
      <w:r w:rsidR="00194B9C" w:rsidRPr="00194B9C">
        <w:rPr>
          <w:rFonts w:ascii="Arial" w:hAnsi="Arial" w:cs="Arial"/>
          <w:sz w:val="20"/>
          <w:szCs w:val="20"/>
        </w:rPr>
        <w:t>o encerra a área de 17.198,54 m²</w:t>
      </w:r>
      <w:r w:rsidRPr="00194B9C">
        <w:rPr>
          <w:rFonts w:ascii="Arial" w:hAnsi="Arial" w:cs="Arial"/>
          <w:sz w:val="20"/>
          <w:szCs w:val="20"/>
        </w:rPr>
        <w:t xml:space="preserve">." </w:t>
      </w:r>
    </w:p>
    <w:p w:rsidR="00B92819" w:rsidRPr="00194B9C" w:rsidRDefault="00B92819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b/>
          <w:sz w:val="20"/>
          <w:szCs w:val="20"/>
        </w:rPr>
        <w:t>Art.</w:t>
      </w:r>
      <w:r w:rsidR="00B92819" w:rsidRPr="00194B9C">
        <w:rPr>
          <w:rFonts w:ascii="Arial" w:hAnsi="Arial" w:cs="Arial"/>
          <w:b/>
          <w:sz w:val="20"/>
          <w:szCs w:val="20"/>
        </w:rPr>
        <w:t xml:space="preserve"> 2</w:t>
      </w:r>
      <w:r w:rsidRPr="00194B9C">
        <w:rPr>
          <w:rFonts w:ascii="Arial" w:hAnsi="Arial" w:cs="Arial"/>
          <w:b/>
          <w:sz w:val="20"/>
          <w:szCs w:val="20"/>
        </w:rPr>
        <w:t>º</w:t>
      </w:r>
      <w:r w:rsidR="00B92819" w:rsidRPr="00194B9C">
        <w:rPr>
          <w:rFonts w:ascii="Arial" w:hAnsi="Arial" w:cs="Arial"/>
          <w:sz w:val="20"/>
          <w:szCs w:val="20"/>
        </w:rPr>
        <w:t xml:space="preserve"> A área de terreno citada no artigo </w:t>
      </w:r>
      <w:r w:rsidRPr="00194B9C">
        <w:rPr>
          <w:rFonts w:ascii="Arial" w:hAnsi="Arial" w:cs="Arial"/>
          <w:sz w:val="20"/>
          <w:szCs w:val="20"/>
        </w:rPr>
        <w:t>1º</w:t>
      </w:r>
      <w:r w:rsidR="00B92819" w:rsidRPr="00194B9C">
        <w:rPr>
          <w:rFonts w:ascii="Arial" w:hAnsi="Arial" w:cs="Arial"/>
          <w:sz w:val="20"/>
          <w:szCs w:val="20"/>
        </w:rPr>
        <w:t xml:space="preserve"> da presente Lei,</w:t>
      </w:r>
      <w:r w:rsidRPr="00194B9C">
        <w:rPr>
          <w:rFonts w:ascii="Arial" w:hAnsi="Arial" w:cs="Arial"/>
          <w:sz w:val="20"/>
          <w:szCs w:val="20"/>
        </w:rPr>
        <w:t xml:space="preserve"> </w:t>
      </w:r>
      <w:r w:rsidR="00B92819" w:rsidRPr="00194B9C">
        <w:rPr>
          <w:rFonts w:ascii="Arial" w:hAnsi="Arial" w:cs="Arial"/>
          <w:sz w:val="20"/>
          <w:szCs w:val="20"/>
        </w:rPr>
        <w:t>destina-se a área Institucional e Recreativa.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B92819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b/>
          <w:sz w:val="20"/>
          <w:szCs w:val="20"/>
        </w:rPr>
        <w:t>Art. 3</w:t>
      </w:r>
      <w:r w:rsidR="00194B9C" w:rsidRPr="00194B9C">
        <w:rPr>
          <w:rFonts w:ascii="Arial" w:hAnsi="Arial" w:cs="Arial"/>
          <w:b/>
          <w:sz w:val="20"/>
          <w:szCs w:val="20"/>
        </w:rPr>
        <w:t>º</w:t>
      </w:r>
      <w:r w:rsidRPr="00194B9C">
        <w:rPr>
          <w:rFonts w:ascii="Arial" w:hAnsi="Arial" w:cs="Arial"/>
          <w:sz w:val="20"/>
          <w:szCs w:val="20"/>
        </w:rPr>
        <w:t xml:space="preserve"> No caso de descumprimento, pelo dona</w:t>
      </w:r>
      <w:r w:rsidR="00194B9C" w:rsidRPr="00194B9C">
        <w:rPr>
          <w:rFonts w:ascii="Arial" w:hAnsi="Arial" w:cs="Arial"/>
          <w:sz w:val="20"/>
          <w:szCs w:val="20"/>
        </w:rPr>
        <w:t xml:space="preserve">tário, ao disposto neste artigo, </w:t>
      </w:r>
      <w:r w:rsidRPr="00194B9C">
        <w:rPr>
          <w:rFonts w:ascii="Arial" w:hAnsi="Arial" w:cs="Arial"/>
          <w:sz w:val="20"/>
          <w:szCs w:val="20"/>
        </w:rPr>
        <w:t xml:space="preserve">a área doada reverterá ao patrimônio municipal, bem como as </w:t>
      </w:r>
      <w:r w:rsidR="00194B9C" w:rsidRPr="00194B9C">
        <w:rPr>
          <w:rFonts w:ascii="Arial" w:hAnsi="Arial" w:cs="Arial"/>
          <w:sz w:val="20"/>
          <w:szCs w:val="20"/>
        </w:rPr>
        <w:t>benfeitorias a ele incorporadas.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b/>
          <w:sz w:val="20"/>
          <w:szCs w:val="20"/>
        </w:rPr>
        <w:t>Art. 4º</w:t>
      </w:r>
      <w:r w:rsidR="00B92819" w:rsidRPr="00194B9C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194B9C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819" w:rsidRDefault="00B92819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B9C">
        <w:rPr>
          <w:rFonts w:ascii="Arial" w:hAnsi="Arial" w:cs="Arial"/>
          <w:sz w:val="20"/>
          <w:szCs w:val="20"/>
        </w:rPr>
        <w:t xml:space="preserve">Ferraz de Vasconcelos, </w:t>
      </w:r>
      <w:proofErr w:type="gramStart"/>
      <w:r w:rsidRPr="00194B9C">
        <w:rPr>
          <w:rFonts w:ascii="Arial" w:hAnsi="Arial" w:cs="Arial"/>
          <w:sz w:val="20"/>
          <w:szCs w:val="20"/>
        </w:rPr>
        <w:t>8</w:t>
      </w:r>
      <w:proofErr w:type="gramEnd"/>
      <w:r w:rsidRPr="00194B9C">
        <w:rPr>
          <w:rFonts w:ascii="Arial" w:hAnsi="Arial" w:cs="Arial"/>
          <w:sz w:val="20"/>
          <w:szCs w:val="20"/>
        </w:rPr>
        <w:t xml:space="preserve"> de dezembro de 2006.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4B9C" w:rsidRPr="00970B46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194B9C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194B9C" w:rsidRPr="00970B46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B9C" w:rsidRPr="00970B46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B9C" w:rsidRPr="00970B46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194B9C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Planejamento</w:t>
      </w:r>
    </w:p>
    <w:p w:rsidR="00194B9C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B9C" w:rsidRPr="00970B46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4B9C" w:rsidRPr="00970B46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4B9C" w:rsidRPr="00970B46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lastRenderedPageBreak/>
        <w:t>ROSELI MORILLA BAPTISTA DOS SANTOS</w:t>
      </w:r>
    </w:p>
    <w:p w:rsidR="00194B9C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194B9C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B9C" w:rsidRDefault="00194B9C" w:rsidP="00194B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4B9C" w:rsidRPr="00104D08" w:rsidRDefault="00194B9C" w:rsidP="00194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94B9C" w:rsidRPr="00194B9C" w:rsidRDefault="00194B9C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Pr="00194B9C" w:rsidRDefault="003A4918" w:rsidP="00194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A4918" w:rsidRPr="00194B9C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D8" w:rsidRDefault="000255D8" w:rsidP="009243B3">
      <w:pPr>
        <w:spacing w:after="0" w:line="240" w:lineRule="auto"/>
      </w:pPr>
      <w:r>
        <w:separator/>
      </w:r>
    </w:p>
  </w:endnote>
  <w:endnote w:type="continuationSeparator" w:id="0">
    <w:p w:rsidR="000255D8" w:rsidRDefault="000255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D8" w:rsidRDefault="000255D8" w:rsidP="009243B3">
      <w:pPr>
        <w:spacing w:after="0" w:line="240" w:lineRule="auto"/>
      </w:pPr>
      <w:r>
        <w:separator/>
      </w:r>
    </w:p>
  </w:footnote>
  <w:footnote w:type="continuationSeparator" w:id="0">
    <w:p w:rsidR="000255D8" w:rsidRDefault="000255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255D8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94B9C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2019-05-13T18:11:00Z</dcterms:created>
  <dcterms:modified xsi:type="dcterms:W3CDTF">2019-05-21T02:34:00Z</dcterms:modified>
</cp:coreProperties>
</file>