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AF" w:rsidRPr="00F11B4E" w:rsidRDefault="00853BAF" w:rsidP="00853BAF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276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>
        <w:rPr>
          <w:rFonts w:ascii="Arial" w:hAnsi="Arial" w:cs="Arial"/>
          <w:b/>
          <w:sz w:val="20"/>
          <w:szCs w:val="20"/>
        </w:rPr>
        <w:t>2</w:t>
      </w:r>
      <w:proofErr w:type="gramEnd"/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853BAF" w:rsidRPr="00CA2FA0" w:rsidRDefault="00853BAF" w:rsidP="00853B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da tabela constante do Anexo IX da Lei Complementar nº 163, de 30 de setembro de 2005, alterada pela Lei Complementar nº 206/2008</w:t>
      </w:r>
      <w:r w:rsidRPr="00CA2FA0">
        <w:rPr>
          <w:rFonts w:ascii="Arial" w:hAnsi="Arial" w:cs="Arial"/>
          <w:sz w:val="20"/>
          <w:szCs w:val="20"/>
        </w:rPr>
        <w:t>.</w:t>
      </w:r>
    </w:p>
    <w:p w:rsidR="00853BAF" w:rsidRDefault="00853BAF" w:rsidP="00853B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53BAF" w:rsidRPr="00661786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3BAF" w:rsidRPr="00E476A2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3BAF" w:rsidRDefault="00853BAF" w:rsidP="00853BA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A tabela para cobrança da Contribuição para Custeio do Serviço de iluminação Pública, constante do Anexo IX da Lei Complementar nº 163/2005, alterada pela Lei Complementar nº 206/2008, passa a vigorar com a seguinte redação:</w:t>
      </w: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BAF" w:rsidRPr="00846289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6289">
        <w:rPr>
          <w:rFonts w:ascii="Arial" w:hAnsi="Arial" w:cs="Arial"/>
          <w:sz w:val="20"/>
          <w:szCs w:val="20"/>
        </w:rPr>
        <w:t>“ANEXO IX”</w:t>
      </w:r>
    </w:p>
    <w:p w:rsidR="00853BAF" w:rsidRPr="00846289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Pr="00846289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46289">
        <w:rPr>
          <w:rFonts w:ascii="Arial" w:hAnsi="Arial" w:cs="Arial"/>
          <w:sz w:val="20"/>
          <w:szCs w:val="20"/>
        </w:rPr>
        <w:t>TABELA PARA COBRANÇA DA CONTRIBUIÇÃO PARA CUSTEIO DO SERVIÇO DE ILUMINAÇÃO PÚBLICA</w:t>
      </w:r>
    </w:p>
    <w:p w:rsidR="00853BAF" w:rsidRDefault="00853BAF" w:rsidP="00853BA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285"/>
      </w:tblGrid>
      <w:tr w:rsidR="00853BAF" w:rsidRPr="00597804" w:rsidTr="00645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3BAF" w:rsidRPr="00597804" w:rsidRDefault="00853BAF" w:rsidP="00645C7D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804">
              <w:rPr>
                <w:rFonts w:ascii="Arial" w:hAnsi="Arial" w:cs="Arial"/>
                <w:b/>
                <w:sz w:val="20"/>
                <w:szCs w:val="20"/>
              </w:rPr>
              <w:t>Classes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3BAF" w:rsidRPr="00597804" w:rsidRDefault="00853BAF" w:rsidP="00645C7D">
            <w:pPr>
              <w:tabs>
                <w:tab w:val="left" w:pos="719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7804">
              <w:rPr>
                <w:rFonts w:ascii="Arial" w:hAnsi="Arial" w:cs="Arial"/>
                <w:b/>
                <w:sz w:val="20"/>
                <w:szCs w:val="20"/>
              </w:rPr>
              <w:t>Valor Unitário Mensal em Reais</w:t>
            </w:r>
          </w:p>
        </w:tc>
      </w:tr>
      <w:tr w:rsidR="00853BAF" w:rsidTr="00645C7D">
        <w:trPr>
          <w:jc w:val="center"/>
        </w:trPr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Comercial </w:t>
            </w:r>
          </w:p>
        </w:tc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24,50</w:t>
            </w:r>
          </w:p>
        </w:tc>
      </w:tr>
      <w:tr w:rsidR="00853BAF" w:rsidTr="00645C7D">
        <w:trPr>
          <w:jc w:val="center"/>
        </w:trPr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79,67</w:t>
            </w:r>
          </w:p>
        </w:tc>
      </w:tr>
      <w:tr w:rsidR="00853BAF" w:rsidTr="00645C7D">
        <w:trPr>
          <w:jc w:val="center"/>
        </w:trPr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Residencial </w:t>
            </w:r>
          </w:p>
        </w:tc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4,88</w:t>
            </w:r>
          </w:p>
        </w:tc>
      </w:tr>
      <w:tr w:rsidR="00853BAF" w:rsidTr="00645C7D">
        <w:trPr>
          <w:jc w:val="center"/>
        </w:trPr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Rural (Agropecuária e Indústria Rural)</w:t>
            </w:r>
          </w:p>
        </w:tc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14,71</w:t>
            </w:r>
          </w:p>
        </w:tc>
      </w:tr>
      <w:tr w:rsidR="00853BAF" w:rsidTr="00645C7D">
        <w:trPr>
          <w:jc w:val="center"/>
        </w:trPr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</w:p>
        </w:tc>
        <w:tc>
          <w:tcPr>
            <w:tcW w:w="0" w:type="auto"/>
          </w:tcPr>
          <w:p w:rsidR="00853BAF" w:rsidRDefault="00853BAF" w:rsidP="00645C7D">
            <w:pPr>
              <w:tabs>
                <w:tab w:val="left" w:pos="719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735,00</w:t>
            </w:r>
          </w:p>
        </w:tc>
      </w:tr>
    </w:tbl>
    <w:p w:rsidR="00853BAF" w:rsidRPr="00E476A2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BAF" w:rsidRPr="00E476A2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2º</w:t>
      </w:r>
      <w:r w:rsidRPr="00E476A2">
        <w:rPr>
          <w:rFonts w:ascii="Arial" w:hAnsi="Arial" w:cs="Arial"/>
          <w:sz w:val="20"/>
          <w:szCs w:val="20"/>
        </w:rPr>
        <w:t xml:space="preserve"> 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Pr="00E476A2">
        <w:rPr>
          <w:rFonts w:ascii="Arial" w:hAnsi="Arial" w:cs="Arial"/>
          <w:sz w:val="20"/>
          <w:szCs w:val="20"/>
        </w:rPr>
        <w:t>entra em vigor na data de sua publicação</w:t>
      </w:r>
      <w:r>
        <w:rPr>
          <w:rFonts w:ascii="Arial" w:hAnsi="Arial" w:cs="Arial"/>
          <w:sz w:val="20"/>
          <w:szCs w:val="20"/>
        </w:rPr>
        <w:t xml:space="preserve">, e terá eficácia a partir de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>
        <w:rPr>
          <w:rFonts w:ascii="Arial" w:hAnsi="Arial" w:cs="Arial"/>
          <w:sz w:val="20"/>
          <w:szCs w:val="20"/>
        </w:rPr>
        <w:t xml:space="preserve"> de abril de 2013, revogando-se as disposições em contrário</w:t>
      </w:r>
      <w:r w:rsidRPr="00E476A2">
        <w:rPr>
          <w:rFonts w:ascii="Arial" w:hAnsi="Arial" w:cs="Arial"/>
          <w:sz w:val="20"/>
          <w:szCs w:val="20"/>
        </w:rPr>
        <w:t>.</w:t>
      </w:r>
    </w:p>
    <w:p w:rsidR="00853BAF" w:rsidRPr="00E476A2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Palácio da Uva Itália, </w:t>
      </w:r>
      <w:proofErr w:type="gramStart"/>
      <w:r>
        <w:rPr>
          <w:rFonts w:ascii="Arial" w:hAnsi="Arial" w:cs="Arial"/>
          <w:sz w:val="20"/>
          <w:szCs w:val="20"/>
        </w:rPr>
        <w:t>2</w:t>
      </w:r>
      <w:proofErr w:type="gramEnd"/>
      <w:r w:rsidRPr="00E476A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abril</w:t>
      </w:r>
      <w:r w:rsidRPr="00E476A2">
        <w:rPr>
          <w:rFonts w:ascii="Arial" w:hAnsi="Arial" w:cs="Arial"/>
          <w:sz w:val="20"/>
          <w:szCs w:val="20"/>
        </w:rPr>
        <w:t xml:space="preserve"> de 2013.</w:t>
      </w:r>
    </w:p>
    <w:p w:rsidR="00853BAF" w:rsidRPr="00E476A2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BAF" w:rsidRPr="00E476A2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ARAÚJO COSTA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853BAF" w:rsidRDefault="00853BAF" w:rsidP="00853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BAF" w:rsidRPr="00A5501B" w:rsidRDefault="00853BAF" w:rsidP="00853BA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53BAF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853BAF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Pr="00104D08" w:rsidRDefault="00853BAF" w:rsidP="00853B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53BAF" w:rsidRPr="00A5501B" w:rsidRDefault="00853BAF" w:rsidP="00853BA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3BAF" w:rsidRDefault="00853BAF" w:rsidP="00853BAF"/>
    <w:p w:rsidR="00893531" w:rsidRPr="00853BAF" w:rsidRDefault="00893531" w:rsidP="00853BAF">
      <w:bookmarkStart w:id="0" w:name="_GoBack"/>
      <w:bookmarkEnd w:id="0"/>
    </w:p>
    <w:sectPr w:rsidR="00893531" w:rsidRPr="00853BAF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7A" w:rsidRDefault="003F417A" w:rsidP="009243B3">
      <w:pPr>
        <w:spacing w:after="0" w:line="240" w:lineRule="auto"/>
      </w:pPr>
      <w:r>
        <w:separator/>
      </w:r>
    </w:p>
  </w:endnote>
  <w:endnote w:type="continuationSeparator" w:id="0">
    <w:p w:rsidR="003F417A" w:rsidRDefault="003F41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7A" w:rsidRDefault="003F417A" w:rsidP="009243B3">
      <w:pPr>
        <w:spacing w:after="0" w:line="240" w:lineRule="auto"/>
      </w:pPr>
      <w:r>
        <w:separator/>
      </w:r>
    </w:p>
  </w:footnote>
  <w:footnote w:type="continuationSeparator" w:id="0">
    <w:p w:rsidR="003F417A" w:rsidRDefault="003F41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17A"/>
    <w:rsid w:val="003F4DB4"/>
    <w:rsid w:val="00401C7C"/>
    <w:rsid w:val="004049B8"/>
    <w:rsid w:val="00405D95"/>
    <w:rsid w:val="00407601"/>
    <w:rsid w:val="004328E2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D7DF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3BAF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AF1CDB"/>
    <w:rsid w:val="00B024F8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96422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B635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2019-06-13T01:01:00Z</dcterms:created>
  <dcterms:modified xsi:type="dcterms:W3CDTF">2019-06-13T01:01:00Z</dcterms:modified>
</cp:coreProperties>
</file>