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38B" w:rsidRPr="00F11B4E" w:rsidRDefault="00D9138B" w:rsidP="00D9138B">
      <w:pPr>
        <w:jc w:val="center"/>
        <w:rPr>
          <w:rFonts w:ascii="Arial" w:hAnsi="Arial" w:cs="Arial"/>
          <w:b/>
          <w:sz w:val="20"/>
          <w:szCs w:val="20"/>
        </w:rPr>
      </w:pPr>
      <w:r w:rsidRPr="00F11B4E">
        <w:rPr>
          <w:rFonts w:ascii="Arial" w:hAnsi="Arial" w:cs="Arial"/>
          <w:b/>
          <w:sz w:val="20"/>
          <w:szCs w:val="20"/>
        </w:rPr>
        <w:t xml:space="preserve">LEI COMPLEMENTAR N° </w:t>
      </w:r>
      <w:r>
        <w:rPr>
          <w:rFonts w:ascii="Arial" w:hAnsi="Arial" w:cs="Arial"/>
          <w:b/>
          <w:sz w:val="20"/>
          <w:szCs w:val="20"/>
        </w:rPr>
        <w:t>284</w:t>
      </w:r>
      <w:r w:rsidRPr="00F11B4E">
        <w:rPr>
          <w:rFonts w:ascii="Arial" w:hAnsi="Arial" w:cs="Arial"/>
          <w:b/>
          <w:sz w:val="20"/>
          <w:szCs w:val="20"/>
        </w:rPr>
        <w:t xml:space="preserve">, DE </w:t>
      </w:r>
      <w:r>
        <w:rPr>
          <w:rFonts w:ascii="Arial" w:hAnsi="Arial" w:cs="Arial"/>
          <w:b/>
          <w:sz w:val="20"/>
          <w:szCs w:val="20"/>
        </w:rPr>
        <w:t>26</w:t>
      </w:r>
      <w:r w:rsidRPr="00F11B4E">
        <w:rPr>
          <w:rFonts w:ascii="Arial" w:hAnsi="Arial" w:cs="Arial"/>
          <w:b/>
          <w:sz w:val="20"/>
          <w:szCs w:val="20"/>
        </w:rPr>
        <w:t xml:space="preserve"> DE </w:t>
      </w:r>
      <w:r>
        <w:rPr>
          <w:rFonts w:ascii="Arial" w:hAnsi="Arial" w:cs="Arial"/>
          <w:b/>
          <w:sz w:val="20"/>
          <w:szCs w:val="20"/>
        </w:rPr>
        <w:t>DEZEMBRO</w:t>
      </w:r>
      <w:r w:rsidRPr="00F11B4E">
        <w:rPr>
          <w:rFonts w:ascii="Arial" w:hAnsi="Arial" w:cs="Arial"/>
          <w:b/>
          <w:sz w:val="20"/>
          <w:szCs w:val="20"/>
        </w:rPr>
        <w:t xml:space="preserve"> DE 20</w:t>
      </w:r>
      <w:r>
        <w:rPr>
          <w:rFonts w:ascii="Arial" w:hAnsi="Arial" w:cs="Arial"/>
          <w:b/>
          <w:sz w:val="20"/>
          <w:szCs w:val="20"/>
        </w:rPr>
        <w:t>13</w:t>
      </w:r>
    </w:p>
    <w:p w:rsidR="00D9138B" w:rsidRPr="00CA2FA0" w:rsidRDefault="00D9138B" w:rsidP="00D9138B">
      <w:pPr>
        <w:spacing w:after="0" w:line="240" w:lineRule="auto"/>
        <w:ind w:left="5103"/>
        <w:jc w:val="both"/>
        <w:rPr>
          <w:rFonts w:ascii="Arial" w:hAnsi="Arial" w:cs="Arial"/>
          <w:sz w:val="20"/>
          <w:szCs w:val="20"/>
        </w:rPr>
      </w:pPr>
      <w:r w:rsidRPr="004054F6">
        <w:rPr>
          <w:rFonts w:ascii="Arial" w:hAnsi="Arial" w:cs="Arial"/>
          <w:sz w:val="20"/>
          <w:szCs w:val="20"/>
        </w:rPr>
        <w:t>Cria a Taxa de Serviços de Bombeiros e dá outras providências</w:t>
      </w:r>
      <w:r w:rsidRPr="00CA2FA0">
        <w:rPr>
          <w:rFonts w:ascii="Arial" w:hAnsi="Arial" w:cs="Arial"/>
          <w:sz w:val="20"/>
          <w:szCs w:val="20"/>
        </w:rPr>
        <w:t>.</w:t>
      </w:r>
    </w:p>
    <w:p w:rsidR="00D9138B" w:rsidRDefault="00D9138B" w:rsidP="00D9138B">
      <w:pPr>
        <w:spacing w:after="0" w:line="240" w:lineRule="auto"/>
        <w:ind w:left="5103"/>
        <w:jc w:val="both"/>
        <w:rPr>
          <w:rFonts w:ascii="Arial" w:hAnsi="Arial" w:cs="Arial"/>
          <w:sz w:val="20"/>
          <w:szCs w:val="20"/>
        </w:rPr>
      </w:pPr>
    </w:p>
    <w:p w:rsidR="00D9138B" w:rsidRPr="00661786" w:rsidRDefault="00D9138B" w:rsidP="00D9138B">
      <w:pPr>
        <w:spacing w:after="0" w:line="240" w:lineRule="auto"/>
        <w:ind w:firstLine="4502"/>
        <w:jc w:val="both"/>
        <w:rPr>
          <w:rFonts w:ascii="Arial" w:hAnsi="Arial" w:cs="Arial"/>
          <w:b/>
          <w:sz w:val="20"/>
          <w:szCs w:val="20"/>
        </w:rPr>
      </w:pPr>
      <w:r w:rsidRPr="00661786">
        <w:rPr>
          <w:rFonts w:ascii="Arial" w:hAnsi="Arial" w:cs="Arial"/>
          <w:b/>
          <w:sz w:val="20"/>
          <w:szCs w:val="20"/>
        </w:rPr>
        <w:t xml:space="preserve">O PREFEITO DA CIDADE DE FERRAZ DE VASCONCELOS, NO USO DAS ATRIBUIÇÕES </w:t>
      </w:r>
      <w:r>
        <w:rPr>
          <w:rFonts w:ascii="Arial" w:hAnsi="Arial" w:cs="Arial"/>
          <w:b/>
          <w:sz w:val="20"/>
          <w:szCs w:val="20"/>
        </w:rPr>
        <w:t>QUE LHE SÃO CONFERIDAS POR LEI</w:t>
      </w:r>
      <w:r w:rsidRPr="00661786">
        <w:rPr>
          <w:rFonts w:ascii="Arial" w:hAnsi="Arial" w:cs="Arial"/>
          <w:b/>
          <w:sz w:val="20"/>
          <w:szCs w:val="20"/>
        </w:rPr>
        <w:t>,</w:t>
      </w:r>
    </w:p>
    <w:p w:rsidR="00D9138B" w:rsidRDefault="00D9138B" w:rsidP="00D9138B">
      <w:pPr>
        <w:spacing w:after="0" w:line="240" w:lineRule="auto"/>
        <w:ind w:firstLine="4502"/>
        <w:jc w:val="both"/>
        <w:rPr>
          <w:rFonts w:ascii="Arial" w:hAnsi="Arial" w:cs="Arial"/>
          <w:b/>
          <w:sz w:val="20"/>
          <w:szCs w:val="20"/>
        </w:rPr>
      </w:pPr>
    </w:p>
    <w:p w:rsidR="00D9138B" w:rsidRPr="00E476A2" w:rsidRDefault="00D9138B" w:rsidP="00D9138B">
      <w:pPr>
        <w:spacing w:after="0" w:line="240" w:lineRule="auto"/>
        <w:ind w:firstLine="4502"/>
        <w:jc w:val="both"/>
        <w:rPr>
          <w:rFonts w:ascii="Arial" w:hAnsi="Arial" w:cs="Arial"/>
          <w:sz w:val="20"/>
          <w:szCs w:val="20"/>
        </w:rPr>
      </w:pPr>
      <w:r w:rsidRPr="00E476A2">
        <w:rPr>
          <w:rFonts w:ascii="Arial" w:hAnsi="Arial" w:cs="Arial"/>
          <w:sz w:val="20"/>
          <w:szCs w:val="20"/>
        </w:rPr>
        <w:t>FAÇO SABER, QUE A CÂMARA MUNICIPAL DECRETA E EU PROMULGO A SEGUINTE LEI:</w:t>
      </w:r>
    </w:p>
    <w:p w:rsidR="00D9138B" w:rsidRDefault="00D9138B" w:rsidP="00D9138B">
      <w:pPr>
        <w:spacing w:after="0" w:line="240" w:lineRule="auto"/>
        <w:jc w:val="both"/>
        <w:rPr>
          <w:rFonts w:ascii="Arial" w:hAnsi="Arial" w:cs="Arial"/>
          <w:sz w:val="20"/>
          <w:szCs w:val="20"/>
        </w:rPr>
      </w:pPr>
    </w:p>
    <w:p w:rsidR="00D9138B" w:rsidRDefault="00D9138B" w:rsidP="00D9138B">
      <w:pPr>
        <w:spacing w:after="0" w:line="240" w:lineRule="auto"/>
        <w:ind w:firstLine="4502"/>
        <w:jc w:val="both"/>
        <w:rPr>
          <w:rFonts w:ascii="Arial" w:hAnsi="Arial" w:cs="Arial"/>
          <w:b/>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Pr="004054F6">
        <w:rPr>
          <w:rFonts w:ascii="Arial" w:hAnsi="Arial" w:cs="Arial"/>
          <w:sz w:val="20"/>
          <w:szCs w:val="20"/>
        </w:rPr>
        <w:t>Para execução de serviços de prevenção e combate a incêndios e outros sinistros, autorizados pela Lei Estadual n° 684, de 30 de setembro de 1975, pelo Decreto Estadual n° 58.568, de 19 de novembro de 2012, pela Lei Estadual n° 14.511, de 22 de julho de 2011, fica instituída a Taxa de Serviços de Bombeiros - TSB, que tem como fato gerador a utilização, efetiva ou potencial, dos serviços de busca e salvamento aquáticos ou terrestres e serviços de proteção e combate a incêndios, e de resgate, prestados pelo Corpo de Bombeiros ao Município, através do convênio e cobrada proporcionalmente ao potencial calorífico das ocupações dos imóveis.</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Art. 2º</w:t>
      </w:r>
      <w:r w:rsidRPr="004054F6">
        <w:rPr>
          <w:rFonts w:ascii="Arial" w:hAnsi="Arial" w:cs="Arial"/>
          <w:sz w:val="20"/>
          <w:szCs w:val="20"/>
        </w:rPr>
        <w:t xml:space="preserve"> São contribuintes da taxa os proprietários, o titular de domínio útil e o possuidor, a qualquer título, de bem imóvel situado no Município de Ferraz de Vasconcelos.</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Art. 3º</w:t>
      </w:r>
      <w:r w:rsidRPr="004054F6">
        <w:rPr>
          <w:rFonts w:ascii="Arial" w:hAnsi="Arial" w:cs="Arial"/>
          <w:sz w:val="20"/>
          <w:szCs w:val="20"/>
        </w:rPr>
        <w:t xml:space="preserve"> A base de cálculo da TSB é o custo do serviço, rateado proporcionalmente entre os contribuintes, em razão da carga de incêndio específica instalada em cada um dos imóveis ou área de risco situados no Município, de acordo com a sua ocupação. Na hipótese de unidade em condomínio, observar-se-á respectiva fração ideal.</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Art. 4º</w:t>
      </w:r>
      <w:r w:rsidRPr="004054F6">
        <w:rPr>
          <w:rFonts w:ascii="Arial" w:hAnsi="Arial" w:cs="Arial"/>
          <w:sz w:val="20"/>
          <w:szCs w:val="20"/>
        </w:rPr>
        <w:t xml:space="preserve"> O valor da taxa será fixado em quantidade de Unidades Fiscais do Estado de São Paulo - </w:t>
      </w:r>
      <w:proofErr w:type="spellStart"/>
      <w:r w:rsidRPr="004054F6">
        <w:rPr>
          <w:rFonts w:ascii="Arial" w:hAnsi="Arial" w:cs="Arial"/>
          <w:sz w:val="20"/>
          <w:szCs w:val="20"/>
        </w:rPr>
        <w:t>UFESPs</w:t>
      </w:r>
      <w:proofErr w:type="spellEnd"/>
      <w:r w:rsidRPr="004054F6">
        <w:rPr>
          <w:rFonts w:ascii="Arial" w:hAnsi="Arial" w:cs="Arial"/>
          <w:sz w:val="20"/>
          <w:szCs w:val="20"/>
        </w:rPr>
        <w:t xml:space="preserve">, </w:t>
      </w:r>
      <w:r>
        <w:rPr>
          <w:rFonts w:ascii="Arial" w:hAnsi="Arial" w:cs="Arial"/>
          <w:sz w:val="20"/>
          <w:szCs w:val="20"/>
        </w:rPr>
        <w:t>criada pelo art. 113, da Lei n°</w:t>
      </w:r>
      <w:r w:rsidRPr="004054F6">
        <w:rPr>
          <w:rFonts w:ascii="Arial" w:hAnsi="Arial" w:cs="Arial"/>
          <w:sz w:val="20"/>
          <w:szCs w:val="20"/>
        </w:rPr>
        <w:t xml:space="preserve"> 6.374, de </w:t>
      </w:r>
      <w:r>
        <w:rPr>
          <w:rFonts w:ascii="Arial" w:hAnsi="Arial" w:cs="Arial"/>
          <w:sz w:val="20"/>
          <w:szCs w:val="20"/>
        </w:rPr>
        <w:t>1º</w:t>
      </w:r>
      <w:r w:rsidRPr="004054F6">
        <w:rPr>
          <w:rFonts w:ascii="Arial" w:hAnsi="Arial" w:cs="Arial"/>
          <w:sz w:val="20"/>
          <w:szCs w:val="20"/>
        </w:rPr>
        <w:t xml:space="preserve"> de março de 1989, e corresponderá ao produto da carga de incêndio de cada imóvel pelo fator de cobrança, fixado em 0,00005 UFESP.</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 1º</w:t>
      </w:r>
      <w:r w:rsidRPr="004054F6">
        <w:rPr>
          <w:rFonts w:ascii="Arial" w:hAnsi="Arial" w:cs="Arial"/>
          <w:sz w:val="20"/>
          <w:szCs w:val="20"/>
        </w:rPr>
        <w:t xml:space="preserve"> A conversão em moeda corrente far-se-á pelo valor da UFESP - Unidade Fiscal do Estado de São Paulo - vigente no</w:t>
      </w:r>
      <w:r>
        <w:rPr>
          <w:rFonts w:ascii="Arial" w:hAnsi="Arial" w:cs="Arial"/>
          <w:sz w:val="20"/>
          <w:szCs w:val="20"/>
        </w:rPr>
        <w:t xml:space="preserve"> pri</w:t>
      </w:r>
      <w:r w:rsidRPr="004054F6">
        <w:rPr>
          <w:rFonts w:ascii="Arial" w:hAnsi="Arial" w:cs="Arial"/>
          <w:sz w:val="20"/>
          <w:szCs w:val="20"/>
        </w:rPr>
        <w:t>meiro dia útil do mês em que se efetivar o recolhimento.</w:t>
      </w:r>
      <w:r w:rsidRPr="004054F6">
        <w:rPr>
          <w:rFonts w:ascii="Arial" w:hAnsi="Arial" w:cs="Arial"/>
          <w:sz w:val="20"/>
          <w:szCs w:val="20"/>
        </w:rPr>
        <w:t> </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 2º</w:t>
      </w:r>
      <w:r w:rsidRPr="004054F6">
        <w:rPr>
          <w:rFonts w:ascii="Arial" w:hAnsi="Arial" w:cs="Arial"/>
          <w:sz w:val="20"/>
          <w:szCs w:val="20"/>
        </w:rPr>
        <w:t xml:space="preserve"> O custo do serviço será o previsto no orçamento do Município para a manutenção e os investimentos necessários à atividade.</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 3º</w:t>
      </w:r>
      <w:r w:rsidRPr="004054F6">
        <w:rPr>
          <w:rFonts w:ascii="Arial" w:hAnsi="Arial" w:cs="Arial"/>
          <w:sz w:val="20"/>
          <w:szCs w:val="20"/>
        </w:rPr>
        <w:t xml:space="preserve"> As atividades que armazenam líquidos combustíveis e/ou inflamáveis, cujas ocupações não constem da Tabela "A", terão a sua carga de incêndio determinada pela quantidade de combustível armazenado, expressa em </w:t>
      </w:r>
      <w:proofErr w:type="spellStart"/>
      <w:r w:rsidRPr="004054F6">
        <w:rPr>
          <w:rFonts w:ascii="Arial" w:hAnsi="Arial" w:cs="Arial"/>
          <w:sz w:val="20"/>
          <w:szCs w:val="20"/>
        </w:rPr>
        <w:t>Megajoules</w:t>
      </w:r>
      <w:proofErr w:type="spellEnd"/>
      <w:r w:rsidRPr="004054F6">
        <w:rPr>
          <w:rFonts w:ascii="Arial" w:hAnsi="Arial" w:cs="Arial"/>
          <w:sz w:val="20"/>
          <w:szCs w:val="20"/>
        </w:rPr>
        <w:t xml:space="preserve"> por quilograma (MJ/kg), na base de 01 (um) litro por um quilograma. Os postos de revenda de gás liquefeito de petróleo (GLP) ou de gás natural veicular (GNV) terão a sua carga de incêndio determinada pela quantidade de combustível armazenado, expressa em </w:t>
      </w:r>
      <w:proofErr w:type="spellStart"/>
      <w:r w:rsidRPr="004054F6">
        <w:rPr>
          <w:rFonts w:ascii="Arial" w:hAnsi="Arial" w:cs="Arial"/>
          <w:sz w:val="20"/>
          <w:szCs w:val="20"/>
        </w:rPr>
        <w:t>Megajoules</w:t>
      </w:r>
      <w:proofErr w:type="spellEnd"/>
      <w:r w:rsidRPr="004054F6">
        <w:rPr>
          <w:rFonts w:ascii="Arial" w:hAnsi="Arial" w:cs="Arial"/>
          <w:sz w:val="20"/>
          <w:szCs w:val="20"/>
        </w:rPr>
        <w:t xml:space="preserve"> por quilograma (MJ/kg), na base de 1 (um) litro por um quilograma.</w:t>
      </w:r>
    </w:p>
    <w:p w:rsidR="00D9138B" w:rsidRDefault="00D9138B" w:rsidP="00D9138B">
      <w:pPr>
        <w:spacing w:after="0" w:line="240" w:lineRule="auto"/>
        <w:ind w:firstLine="4502"/>
        <w:jc w:val="both"/>
        <w:rPr>
          <w:rFonts w:ascii="Arial" w:hAnsi="Arial" w:cs="Arial"/>
          <w:sz w:val="20"/>
          <w:szCs w:val="20"/>
        </w:rPr>
      </w:pPr>
    </w:p>
    <w:p w:rsidR="00D9138B" w:rsidRPr="00297990" w:rsidRDefault="00D9138B" w:rsidP="00D9138B">
      <w:pPr>
        <w:spacing w:after="0" w:line="240" w:lineRule="auto"/>
        <w:jc w:val="center"/>
        <w:rPr>
          <w:rFonts w:ascii="Arial" w:hAnsi="Arial" w:cs="Arial"/>
          <w:b/>
          <w:sz w:val="20"/>
          <w:szCs w:val="20"/>
        </w:rPr>
      </w:pPr>
      <w:r w:rsidRPr="00297990">
        <w:rPr>
          <w:rFonts w:ascii="Arial" w:hAnsi="Arial" w:cs="Arial"/>
          <w:b/>
          <w:sz w:val="20"/>
          <w:szCs w:val="20"/>
        </w:rPr>
        <w:t>TABELA “A”</w:t>
      </w:r>
    </w:p>
    <w:p w:rsidR="00D9138B" w:rsidRPr="00297990" w:rsidRDefault="00D9138B" w:rsidP="00D9138B">
      <w:pPr>
        <w:spacing w:after="0" w:line="240" w:lineRule="auto"/>
        <w:jc w:val="center"/>
        <w:rPr>
          <w:rFonts w:ascii="Arial" w:hAnsi="Arial" w:cs="Arial"/>
          <w:b/>
          <w:sz w:val="20"/>
          <w:szCs w:val="20"/>
        </w:rPr>
      </w:pPr>
      <w:r w:rsidRPr="00297990">
        <w:rPr>
          <w:rFonts w:ascii="Arial" w:hAnsi="Arial" w:cs="Arial"/>
          <w:b/>
          <w:sz w:val="20"/>
          <w:szCs w:val="20"/>
        </w:rPr>
        <w:t>Classificação da área de armazenamento</w:t>
      </w:r>
    </w:p>
    <w:p w:rsidR="00D9138B" w:rsidRPr="004054F6"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 xml:space="preserve"> </w:t>
      </w:r>
    </w:p>
    <w:tbl>
      <w:tblPr>
        <w:tblStyle w:val="Estilo1"/>
        <w:tblW w:w="0" w:type="auto"/>
        <w:jc w:val="center"/>
        <w:tblLook w:val="04A0" w:firstRow="1" w:lastRow="0" w:firstColumn="1" w:lastColumn="0" w:noHBand="0" w:noVBand="1"/>
      </w:tblPr>
      <w:tblGrid>
        <w:gridCol w:w="1062"/>
        <w:gridCol w:w="3276"/>
        <w:gridCol w:w="4897"/>
      </w:tblGrid>
      <w:tr w:rsidR="00D9138B" w:rsidRPr="00297990" w:rsidTr="00645C7D">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D9138B" w:rsidRPr="00297990" w:rsidRDefault="00D9138B" w:rsidP="00645C7D">
            <w:pPr>
              <w:jc w:val="center"/>
              <w:rPr>
                <w:rFonts w:ascii="Arial" w:hAnsi="Arial" w:cs="Arial"/>
                <w:b/>
                <w:sz w:val="20"/>
                <w:szCs w:val="20"/>
              </w:rPr>
            </w:pPr>
            <w:r w:rsidRPr="00297990">
              <w:rPr>
                <w:rFonts w:ascii="Arial" w:hAnsi="Arial" w:cs="Arial"/>
                <w:b/>
                <w:sz w:val="20"/>
                <w:szCs w:val="20"/>
              </w:rPr>
              <w:t>Classe</w:t>
            </w:r>
          </w:p>
        </w:tc>
        <w:tc>
          <w:tcPr>
            <w:tcW w:w="0" w:type="auto"/>
            <w:shd w:val="clear" w:color="auto" w:fill="D9D9D9" w:themeFill="background1" w:themeFillShade="D9"/>
          </w:tcPr>
          <w:p w:rsidR="00D9138B" w:rsidRPr="00297990" w:rsidRDefault="00D9138B" w:rsidP="00645C7D">
            <w:pPr>
              <w:jc w:val="center"/>
              <w:rPr>
                <w:rFonts w:ascii="Arial" w:hAnsi="Arial" w:cs="Arial"/>
                <w:b/>
                <w:sz w:val="20"/>
                <w:szCs w:val="20"/>
              </w:rPr>
            </w:pPr>
            <w:r w:rsidRPr="00297990">
              <w:rPr>
                <w:rFonts w:ascii="Arial" w:hAnsi="Arial" w:cs="Arial"/>
                <w:b/>
                <w:sz w:val="20"/>
                <w:szCs w:val="20"/>
              </w:rPr>
              <w:t>Capacidade de armazenamento</w:t>
            </w:r>
          </w:p>
        </w:tc>
        <w:tc>
          <w:tcPr>
            <w:tcW w:w="0" w:type="auto"/>
            <w:shd w:val="clear" w:color="auto" w:fill="D9D9D9" w:themeFill="background1" w:themeFillShade="D9"/>
          </w:tcPr>
          <w:p w:rsidR="00D9138B" w:rsidRPr="00297990" w:rsidRDefault="00D9138B" w:rsidP="00645C7D">
            <w:pPr>
              <w:jc w:val="center"/>
              <w:rPr>
                <w:rFonts w:ascii="Arial" w:hAnsi="Arial" w:cs="Arial"/>
                <w:b/>
                <w:sz w:val="20"/>
                <w:szCs w:val="20"/>
              </w:rPr>
            </w:pPr>
            <w:r w:rsidRPr="00297990">
              <w:rPr>
                <w:rFonts w:ascii="Arial" w:hAnsi="Arial" w:cs="Arial"/>
                <w:b/>
                <w:sz w:val="20"/>
                <w:szCs w:val="20"/>
              </w:rPr>
              <w:t>Capacidade de armazenamento (botijões 13 kg)*</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Pr>
                <w:rFonts w:ascii="Arial" w:hAnsi="Arial" w:cs="Arial"/>
                <w:sz w:val="20"/>
                <w:szCs w:val="20"/>
              </w:rPr>
              <w:t>I</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 xml:space="preserve">Até 520 </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40</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Pr>
                <w:rFonts w:ascii="Arial" w:hAnsi="Arial" w:cs="Arial"/>
                <w:sz w:val="20"/>
                <w:szCs w:val="20"/>
              </w:rPr>
              <w:t>II</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1560</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120</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Pr>
                <w:rFonts w:ascii="Arial" w:hAnsi="Arial" w:cs="Arial"/>
                <w:sz w:val="20"/>
                <w:szCs w:val="20"/>
              </w:rPr>
              <w:t>III</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6240</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480</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 xml:space="preserve"> </w:t>
            </w:r>
            <w:r>
              <w:rPr>
                <w:rFonts w:ascii="Arial" w:hAnsi="Arial" w:cs="Arial"/>
                <w:sz w:val="20"/>
                <w:szCs w:val="20"/>
              </w:rPr>
              <w:t>IV</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 xml:space="preserve">Até 12480 </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960</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Pr>
                <w:rFonts w:ascii="Arial" w:hAnsi="Arial" w:cs="Arial"/>
                <w:sz w:val="20"/>
                <w:szCs w:val="20"/>
              </w:rPr>
              <w:lastRenderedPageBreak/>
              <w:t>V</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24960</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1920</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 xml:space="preserve">  </w:t>
            </w:r>
            <w:r>
              <w:rPr>
                <w:rFonts w:ascii="Arial" w:hAnsi="Arial" w:cs="Arial"/>
                <w:sz w:val="20"/>
                <w:szCs w:val="20"/>
              </w:rPr>
              <w:t>VI</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49920</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3840</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VII</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99840</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Até 7680</w:t>
            </w:r>
          </w:p>
        </w:tc>
      </w:tr>
      <w:tr w:rsidR="00D9138B" w:rsidRPr="00297990" w:rsidTr="00645C7D">
        <w:trPr>
          <w:jc w:val="center"/>
        </w:trPr>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Especial</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Mais de 99840</w:t>
            </w:r>
          </w:p>
        </w:tc>
        <w:tc>
          <w:tcPr>
            <w:tcW w:w="0" w:type="auto"/>
          </w:tcPr>
          <w:p w:rsidR="00D9138B" w:rsidRPr="00297990" w:rsidRDefault="00D9138B" w:rsidP="00645C7D">
            <w:pPr>
              <w:jc w:val="both"/>
              <w:rPr>
                <w:rFonts w:ascii="Arial" w:hAnsi="Arial" w:cs="Arial"/>
                <w:sz w:val="20"/>
                <w:szCs w:val="20"/>
              </w:rPr>
            </w:pPr>
            <w:r w:rsidRPr="00297990">
              <w:rPr>
                <w:rFonts w:ascii="Arial" w:hAnsi="Arial" w:cs="Arial"/>
                <w:sz w:val="20"/>
                <w:szCs w:val="20"/>
              </w:rPr>
              <w:t>Mais de 7680</w:t>
            </w:r>
          </w:p>
        </w:tc>
      </w:tr>
      <w:tr w:rsidR="00D9138B" w:rsidRPr="00297990" w:rsidTr="00645C7D">
        <w:trPr>
          <w:jc w:val="center"/>
        </w:trPr>
        <w:tc>
          <w:tcPr>
            <w:tcW w:w="0" w:type="auto"/>
            <w:gridSpan w:val="3"/>
          </w:tcPr>
          <w:p w:rsidR="00D9138B" w:rsidRPr="00297990" w:rsidRDefault="00D9138B" w:rsidP="00645C7D">
            <w:pPr>
              <w:jc w:val="both"/>
              <w:rPr>
                <w:rFonts w:ascii="Arial" w:hAnsi="Arial" w:cs="Arial"/>
                <w:sz w:val="20"/>
                <w:szCs w:val="20"/>
              </w:rPr>
            </w:pPr>
            <w:r w:rsidRPr="00297990">
              <w:rPr>
                <w:rFonts w:ascii="Arial" w:hAnsi="Arial" w:cs="Arial"/>
                <w:sz w:val="20"/>
                <w:szCs w:val="20"/>
              </w:rPr>
              <w:t>Apenas referência. A capacidade de armazenamento deve sempre ser medida em Kg de GLP.</w:t>
            </w:r>
          </w:p>
        </w:tc>
      </w:tr>
    </w:tbl>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 4º</w:t>
      </w:r>
      <w:r w:rsidRPr="004054F6">
        <w:rPr>
          <w:rFonts w:ascii="Arial" w:hAnsi="Arial" w:cs="Arial"/>
          <w:sz w:val="20"/>
          <w:szCs w:val="20"/>
        </w:rPr>
        <w:t xml:space="preserve"> No caso da existência de cargas de incêndio específicas diferentes em um mesmo imóvel ou área de risco, prevalecerá, para os efeitos desta Lei, a carga de incêndio cujo resultado, calculado conforme o § </w:t>
      </w:r>
      <w:r w:rsidR="00776B8A">
        <w:rPr>
          <w:rFonts w:ascii="Arial" w:hAnsi="Arial" w:cs="Arial"/>
          <w:sz w:val="20"/>
          <w:szCs w:val="20"/>
        </w:rPr>
        <w:t>1º</w:t>
      </w:r>
      <w:r w:rsidRPr="004054F6">
        <w:rPr>
          <w:rFonts w:ascii="Arial" w:hAnsi="Arial" w:cs="Arial"/>
          <w:sz w:val="20"/>
          <w:szCs w:val="20"/>
        </w:rPr>
        <w:t xml:space="preserve"> deste artigo, for a maior. Os tipos de ocupação dos imóveis, que não constarem da tabela anexa, devem ter sua carga de incêndio específica determinada por similaridade.</w:t>
      </w:r>
      <w:r w:rsidRPr="004054F6">
        <w:rPr>
          <w:rFonts w:ascii="Arial" w:hAnsi="Arial" w:cs="Arial"/>
          <w:sz w:val="20"/>
          <w:szCs w:val="20"/>
        </w:rPr>
        <w:t> </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 5º</w:t>
      </w:r>
      <w:r w:rsidRPr="004054F6">
        <w:rPr>
          <w:rFonts w:ascii="Arial" w:hAnsi="Arial" w:cs="Arial"/>
          <w:sz w:val="20"/>
          <w:szCs w:val="20"/>
        </w:rPr>
        <w:t xml:space="preserve"> A Taxa de Serviços de Bombeiros será calculada conforme a seguinte fórmula geral:</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C (carga de incêndio)</w:t>
      </w:r>
    </w:p>
    <w:p w:rsidR="00D9138B" w:rsidRPr="004054F6"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A (área construída)</w:t>
      </w:r>
    </w:p>
    <w:p w:rsidR="00D9138B" w:rsidRPr="004054F6"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F = fator de cobrança (0,00005)</w:t>
      </w:r>
    </w:p>
    <w:p w:rsidR="00D9138B" w:rsidRPr="004054F6"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UFESP (Unidades Fiscais do Estado de São Paulo)</w:t>
      </w:r>
    </w:p>
    <w:p w:rsidR="00D9138B" w:rsidRPr="004054F6"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Valor Anual da Taxa= C x A x F x UFESP</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 6º</w:t>
      </w:r>
      <w:r w:rsidRPr="004054F6">
        <w:rPr>
          <w:rFonts w:ascii="Arial" w:hAnsi="Arial" w:cs="Arial"/>
          <w:sz w:val="20"/>
          <w:szCs w:val="20"/>
        </w:rPr>
        <w:t xml:space="preserve"> Faz parte integrante desta Lei o Anexo Único (Tabelas </w:t>
      </w:r>
      <w:proofErr w:type="gramStart"/>
      <w:r w:rsidRPr="004054F6">
        <w:rPr>
          <w:rFonts w:ascii="Arial" w:hAnsi="Arial" w:cs="Arial"/>
          <w:sz w:val="20"/>
          <w:szCs w:val="20"/>
        </w:rPr>
        <w:t>A</w:t>
      </w:r>
      <w:r w:rsidR="00547A1A">
        <w:rPr>
          <w:rFonts w:ascii="Arial" w:hAnsi="Arial" w:cs="Arial"/>
          <w:sz w:val="20"/>
          <w:szCs w:val="20"/>
        </w:rPr>
        <w:t>,</w:t>
      </w:r>
      <w:bookmarkStart w:id="0" w:name="_GoBack"/>
      <w:bookmarkEnd w:id="0"/>
      <w:r w:rsidRPr="004054F6">
        <w:rPr>
          <w:rFonts w:ascii="Arial" w:hAnsi="Arial" w:cs="Arial"/>
          <w:sz w:val="20"/>
          <w:szCs w:val="20"/>
        </w:rPr>
        <w:t xml:space="preserve"> B</w:t>
      </w:r>
      <w:proofErr w:type="gramEnd"/>
      <w:r w:rsidRPr="004054F6">
        <w:rPr>
          <w:rFonts w:ascii="Arial" w:hAnsi="Arial" w:cs="Arial"/>
          <w:sz w:val="20"/>
          <w:szCs w:val="20"/>
        </w:rPr>
        <w:t>, C e D, de cargas de incêndio especificadas por ocupação e outras).</w:t>
      </w:r>
    </w:p>
    <w:p w:rsidR="00D9138B" w:rsidRDefault="00D9138B" w:rsidP="00D9138B">
      <w:pPr>
        <w:spacing w:after="0" w:line="240" w:lineRule="auto"/>
        <w:ind w:firstLine="4502"/>
        <w:jc w:val="both"/>
        <w:rPr>
          <w:rFonts w:ascii="Arial" w:hAnsi="Arial" w:cs="Arial"/>
          <w:sz w:val="20"/>
          <w:szCs w:val="20"/>
        </w:rPr>
      </w:pPr>
    </w:p>
    <w:p w:rsidR="00D9138B"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Art. 5º</w:t>
      </w:r>
      <w:r w:rsidRPr="004054F6">
        <w:rPr>
          <w:rFonts w:ascii="Arial" w:hAnsi="Arial" w:cs="Arial"/>
          <w:sz w:val="20"/>
          <w:szCs w:val="20"/>
        </w:rPr>
        <w:t xml:space="preserve"> Considera-se custo do serviço:</w:t>
      </w:r>
    </w:p>
    <w:p w:rsidR="00D9138B" w:rsidRPr="004054F6"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I -</w:t>
      </w:r>
      <w:r w:rsidRPr="004054F6">
        <w:rPr>
          <w:rFonts w:ascii="Arial" w:hAnsi="Arial" w:cs="Arial"/>
          <w:sz w:val="20"/>
          <w:szCs w:val="20"/>
        </w:rPr>
        <w:t xml:space="preserve"> </w:t>
      </w:r>
      <w:proofErr w:type="gramStart"/>
      <w:r w:rsidRPr="004054F6">
        <w:rPr>
          <w:rFonts w:ascii="Arial" w:hAnsi="Arial" w:cs="Arial"/>
          <w:sz w:val="20"/>
          <w:szCs w:val="20"/>
        </w:rPr>
        <w:t>Combustíveis, peças e lubrificantes</w:t>
      </w:r>
      <w:proofErr w:type="gramEnd"/>
      <w:r w:rsidRPr="004054F6">
        <w:rPr>
          <w:rFonts w:ascii="Arial" w:hAnsi="Arial" w:cs="Arial"/>
          <w:sz w:val="20"/>
          <w:szCs w:val="20"/>
        </w:rPr>
        <w:t xml:space="preserve"> consumidos pelos veículos utilizados na execução dos serviços;</w:t>
      </w: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II -</w:t>
      </w:r>
      <w:r w:rsidRPr="004054F6">
        <w:rPr>
          <w:rFonts w:ascii="Arial" w:hAnsi="Arial" w:cs="Arial"/>
          <w:sz w:val="20"/>
          <w:szCs w:val="20"/>
        </w:rPr>
        <w:t xml:space="preserve"> Demais materiais de consumo necessários à execução</w:t>
      </w:r>
      <w:r>
        <w:rPr>
          <w:rFonts w:ascii="Arial" w:hAnsi="Arial" w:cs="Arial"/>
          <w:sz w:val="20"/>
          <w:szCs w:val="20"/>
        </w:rPr>
        <w:t xml:space="preserve"> </w:t>
      </w:r>
      <w:r w:rsidRPr="004054F6">
        <w:rPr>
          <w:rFonts w:ascii="Arial" w:hAnsi="Arial" w:cs="Arial"/>
          <w:sz w:val="20"/>
          <w:szCs w:val="20"/>
        </w:rPr>
        <w:t>do serviço;</w:t>
      </w: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III -</w:t>
      </w:r>
      <w:r w:rsidRPr="004054F6">
        <w:rPr>
          <w:rFonts w:ascii="Arial" w:hAnsi="Arial" w:cs="Arial"/>
          <w:sz w:val="20"/>
          <w:szCs w:val="20"/>
        </w:rPr>
        <w:t xml:space="preserve"> Despesas com aquisição de imóveis, construção, reforma ou ampliação de prédio para abrigar o serviço;</w:t>
      </w: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IV -</w:t>
      </w:r>
      <w:r w:rsidRPr="004054F6">
        <w:rPr>
          <w:rFonts w:ascii="Arial" w:hAnsi="Arial" w:cs="Arial"/>
          <w:sz w:val="20"/>
          <w:szCs w:val="20"/>
        </w:rPr>
        <w:t xml:space="preserve"> Equipamentos e materiais permanentes necessários à execução do serviço administrativo e operacional;</w:t>
      </w:r>
    </w:p>
    <w:p w:rsidR="00D9138B" w:rsidRPr="004054F6" w:rsidRDefault="00D9138B" w:rsidP="00D9138B">
      <w:pPr>
        <w:spacing w:after="0" w:line="240" w:lineRule="auto"/>
        <w:ind w:firstLine="4502"/>
        <w:jc w:val="both"/>
        <w:rPr>
          <w:rFonts w:ascii="Arial" w:hAnsi="Arial" w:cs="Arial"/>
          <w:sz w:val="20"/>
          <w:szCs w:val="20"/>
        </w:rPr>
      </w:pPr>
      <w:r w:rsidRPr="00297990">
        <w:rPr>
          <w:rFonts w:ascii="Arial" w:hAnsi="Arial" w:cs="Arial"/>
          <w:b/>
          <w:sz w:val="20"/>
          <w:szCs w:val="20"/>
        </w:rPr>
        <w:t>V -</w:t>
      </w:r>
      <w:r w:rsidRPr="004054F6">
        <w:rPr>
          <w:rFonts w:ascii="Arial" w:hAnsi="Arial" w:cs="Arial"/>
          <w:sz w:val="20"/>
          <w:szCs w:val="20"/>
        </w:rPr>
        <w:t xml:space="preserve"> Educação e treinamento de bombeiros e da comunidade, visando a prevenção e atendimentos emergenciais de bombeiros;</w:t>
      </w:r>
    </w:p>
    <w:p w:rsidR="00D9138B" w:rsidRPr="004054F6" w:rsidRDefault="00D9138B" w:rsidP="00D9138B">
      <w:pPr>
        <w:spacing w:after="0" w:line="240" w:lineRule="auto"/>
        <w:ind w:firstLine="4502"/>
        <w:jc w:val="both"/>
        <w:rPr>
          <w:rFonts w:ascii="Arial" w:hAnsi="Arial" w:cs="Arial"/>
          <w:sz w:val="20"/>
          <w:szCs w:val="20"/>
        </w:rPr>
      </w:pPr>
      <w:r w:rsidRPr="00BE2EB1">
        <w:rPr>
          <w:rFonts w:ascii="Arial" w:hAnsi="Arial" w:cs="Arial"/>
          <w:b/>
          <w:sz w:val="20"/>
          <w:szCs w:val="20"/>
        </w:rPr>
        <w:t>VI –</w:t>
      </w:r>
      <w:r>
        <w:rPr>
          <w:rFonts w:ascii="Arial" w:hAnsi="Arial" w:cs="Arial"/>
          <w:sz w:val="20"/>
          <w:szCs w:val="20"/>
        </w:rPr>
        <w:t xml:space="preserve"> Viaturas necessárias à execução dos serviços </w:t>
      </w:r>
      <w:r w:rsidRPr="004054F6">
        <w:rPr>
          <w:rFonts w:ascii="Arial" w:hAnsi="Arial" w:cs="Arial"/>
          <w:sz w:val="20"/>
          <w:szCs w:val="20"/>
        </w:rPr>
        <w:t>operacionais e administrativos.</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BE2EB1">
        <w:rPr>
          <w:rFonts w:ascii="Arial" w:hAnsi="Arial" w:cs="Arial"/>
          <w:b/>
          <w:sz w:val="20"/>
          <w:szCs w:val="20"/>
        </w:rPr>
        <w:t>Art. 6º</w:t>
      </w:r>
      <w:r w:rsidRPr="00BE2EB1">
        <w:rPr>
          <w:rFonts w:ascii="Arial" w:hAnsi="Arial" w:cs="Arial"/>
          <w:sz w:val="20"/>
          <w:szCs w:val="20"/>
        </w:rPr>
        <w:t xml:space="preserve"> </w:t>
      </w:r>
      <w:r w:rsidRPr="004054F6">
        <w:rPr>
          <w:rFonts w:ascii="Arial" w:hAnsi="Arial" w:cs="Arial"/>
          <w:sz w:val="20"/>
          <w:szCs w:val="20"/>
        </w:rPr>
        <w:t>A TSB poderá ser lançada isoladamente ou em conjunto com outros tributos municipais, devendo, neste caso, constarem, obrigatoriamente, os elementos distintivos de cada um.</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BE2EB1">
        <w:rPr>
          <w:rFonts w:ascii="Arial" w:hAnsi="Arial" w:cs="Arial"/>
          <w:b/>
          <w:sz w:val="20"/>
          <w:szCs w:val="20"/>
        </w:rPr>
        <w:t>Art. 7º</w:t>
      </w:r>
      <w:r w:rsidRPr="004054F6">
        <w:rPr>
          <w:rFonts w:ascii="Arial" w:hAnsi="Arial" w:cs="Arial"/>
          <w:sz w:val="20"/>
          <w:szCs w:val="20"/>
        </w:rPr>
        <w:t xml:space="preserve"> O pagamento da TSB poderá ser feito de uma só vez ou parceladamente, conforme previsto em regulamento, nos respectivos vencimentos e locais indicados nos avisos-recibos, indexando-se as prestações na forma prevista nos termos da legislação tributária do Município.</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BE2EB1">
        <w:rPr>
          <w:rFonts w:ascii="Arial" w:hAnsi="Arial" w:cs="Arial"/>
          <w:b/>
          <w:sz w:val="20"/>
          <w:szCs w:val="20"/>
        </w:rPr>
        <w:t>Art. 8º</w:t>
      </w:r>
      <w:r w:rsidRPr="004054F6">
        <w:rPr>
          <w:rFonts w:ascii="Arial" w:hAnsi="Arial" w:cs="Arial"/>
          <w:sz w:val="20"/>
          <w:szCs w:val="20"/>
        </w:rPr>
        <w:t xml:space="preserve"> O não pagamento da TSB nos prazos normais sujeitará o contribuinte aos mesmos encargos previsto na legislação do IPTU.</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BE2EB1">
        <w:rPr>
          <w:rFonts w:ascii="Arial" w:hAnsi="Arial" w:cs="Arial"/>
          <w:b/>
          <w:sz w:val="20"/>
          <w:szCs w:val="20"/>
        </w:rPr>
        <w:t>Art. 9º</w:t>
      </w:r>
      <w:r w:rsidRPr="004054F6">
        <w:rPr>
          <w:rFonts w:ascii="Arial" w:hAnsi="Arial" w:cs="Arial"/>
          <w:sz w:val="20"/>
          <w:szCs w:val="20"/>
        </w:rPr>
        <w:t xml:space="preserve"> Os recursos arrecadados com a TSB serão contabilizados em crédito orçamentário próprio e em </w:t>
      </w:r>
      <w:proofErr w:type="gramStart"/>
      <w:r w:rsidRPr="004054F6">
        <w:rPr>
          <w:rFonts w:ascii="Arial" w:hAnsi="Arial" w:cs="Arial"/>
          <w:sz w:val="20"/>
          <w:szCs w:val="20"/>
        </w:rPr>
        <w:t>conta</w:t>
      </w:r>
      <w:proofErr w:type="gramEnd"/>
      <w:r w:rsidRPr="004054F6">
        <w:rPr>
          <w:rFonts w:ascii="Arial" w:hAnsi="Arial" w:cs="Arial"/>
          <w:sz w:val="20"/>
          <w:szCs w:val="20"/>
        </w:rPr>
        <w:t xml:space="preserve"> </w:t>
      </w:r>
      <w:proofErr w:type="spellStart"/>
      <w:r w:rsidRPr="004054F6">
        <w:rPr>
          <w:rFonts w:ascii="Arial" w:hAnsi="Arial" w:cs="Arial"/>
          <w:sz w:val="20"/>
          <w:szCs w:val="20"/>
        </w:rPr>
        <w:t>conta</w:t>
      </w:r>
      <w:proofErr w:type="spellEnd"/>
      <w:r w:rsidRPr="004054F6">
        <w:rPr>
          <w:rFonts w:ascii="Arial" w:hAnsi="Arial" w:cs="Arial"/>
          <w:sz w:val="20"/>
          <w:szCs w:val="20"/>
        </w:rPr>
        <w:t xml:space="preserve"> bancária específica do Fundo Municipal de Manutenção do Corpo de Bombeiros de Ferraz de Vasconcelos. </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BE2EB1">
        <w:rPr>
          <w:rFonts w:ascii="Arial" w:hAnsi="Arial" w:cs="Arial"/>
          <w:b/>
          <w:sz w:val="20"/>
          <w:szCs w:val="20"/>
        </w:rPr>
        <w:t>Art. 10.</w:t>
      </w:r>
      <w:r w:rsidRPr="004054F6">
        <w:rPr>
          <w:rFonts w:ascii="Arial" w:hAnsi="Arial" w:cs="Arial"/>
          <w:sz w:val="20"/>
          <w:szCs w:val="20"/>
        </w:rPr>
        <w:t xml:space="preserve"> Esta Lei entrará em vigor na data de sua publicação, revogadas as disposições em contrário.</w:t>
      </w: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 xml:space="preserve"> </w:t>
      </w:r>
    </w:p>
    <w:p w:rsidR="00D9138B" w:rsidRDefault="00D9138B" w:rsidP="00D9138B">
      <w:pPr>
        <w:spacing w:after="0" w:line="240" w:lineRule="auto"/>
        <w:ind w:firstLine="4502"/>
        <w:jc w:val="both"/>
        <w:rPr>
          <w:rFonts w:ascii="Arial" w:hAnsi="Arial" w:cs="Arial"/>
          <w:sz w:val="20"/>
          <w:szCs w:val="20"/>
        </w:rPr>
      </w:pPr>
      <w:r w:rsidRPr="004054F6">
        <w:rPr>
          <w:rFonts w:ascii="Arial" w:hAnsi="Arial" w:cs="Arial"/>
          <w:sz w:val="20"/>
          <w:szCs w:val="20"/>
        </w:rPr>
        <w:t>Palácio da Uva Itália, 26 de dezembro de 2013.</w:t>
      </w:r>
    </w:p>
    <w:p w:rsidR="00D9138B" w:rsidRDefault="00D9138B" w:rsidP="00D9138B">
      <w:pPr>
        <w:spacing w:after="0" w:line="240" w:lineRule="auto"/>
        <w:ind w:firstLine="4502"/>
        <w:jc w:val="both"/>
        <w:rPr>
          <w:rFonts w:ascii="Arial" w:hAnsi="Arial" w:cs="Arial"/>
          <w:sz w:val="20"/>
          <w:szCs w:val="20"/>
        </w:rPr>
      </w:pPr>
    </w:p>
    <w:p w:rsidR="00D9138B" w:rsidRDefault="00D9138B" w:rsidP="00D9138B">
      <w:pPr>
        <w:spacing w:after="0" w:line="240" w:lineRule="auto"/>
        <w:jc w:val="center"/>
        <w:rPr>
          <w:rFonts w:ascii="Arial" w:hAnsi="Arial" w:cs="Arial"/>
          <w:sz w:val="20"/>
          <w:szCs w:val="20"/>
        </w:rPr>
      </w:pPr>
    </w:p>
    <w:p w:rsidR="00D9138B" w:rsidRDefault="00D9138B" w:rsidP="00D9138B">
      <w:pPr>
        <w:spacing w:after="0" w:line="240" w:lineRule="auto"/>
        <w:jc w:val="center"/>
        <w:rPr>
          <w:rFonts w:ascii="Arial" w:hAnsi="Arial" w:cs="Arial"/>
          <w:sz w:val="20"/>
          <w:szCs w:val="20"/>
        </w:rPr>
      </w:pPr>
      <w:r>
        <w:rPr>
          <w:rFonts w:ascii="Arial" w:hAnsi="Arial" w:cs="Arial"/>
          <w:sz w:val="20"/>
          <w:szCs w:val="20"/>
        </w:rPr>
        <w:t>ACIR DOS SANTOS</w:t>
      </w:r>
    </w:p>
    <w:p w:rsidR="00D9138B" w:rsidRDefault="00D9138B" w:rsidP="00D9138B">
      <w:pPr>
        <w:spacing w:after="0" w:line="240" w:lineRule="auto"/>
        <w:jc w:val="center"/>
        <w:rPr>
          <w:rFonts w:ascii="Arial" w:hAnsi="Arial" w:cs="Arial"/>
          <w:sz w:val="20"/>
          <w:szCs w:val="20"/>
        </w:rPr>
      </w:pPr>
      <w:r>
        <w:rPr>
          <w:rFonts w:ascii="Arial" w:hAnsi="Arial" w:cs="Arial"/>
          <w:sz w:val="20"/>
          <w:szCs w:val="20"/>
        </w:rPr>
        <w:t>(ACIR FILLÓ)</w:t>
      </w:r>
    </w:p>
    <w:p w:rsidR="00D9138B" w:rsidRDefault="00D9138B" w:rsidP="00D9138B">
      <w:pPr>
        <w:spacing w:after="0" w:line="240" w:lineRule="auto"/>
        <w:jc w:val="center"/>
        <w:rPr>
          <w:rFonts w:ascii="Arial" w:hAnsi="Arial" w:cs="Arial"/>
          <w:sz w:val="20"/>
          <w:szCs w:val="20"/>
        </w:rPr>
      </w:pPr>
      <w:r>
        <w:rPr>
          <w:rFonts w:ascii="Arial" w:hAnsi="Arial" w:cs="Arial"/>
          <w:sz w:val="20"/>
          <w:szCs w:val="20"/>
        </w:rPr>
        <w:t>Prefeito</w:t>
      </w:r>
    </w:p>
    <w:p w:rsidR="00D9138B" w:rsidRDefault="00D9138B" w:rsidP="00D9138B">
      <w:pPr>
        <w:spacing w:after="0" w:line="240" w:lineRule="auto"/>
        <w:jc w:val="center"/>
        <w:rPr>
          <w:rFonts w:ascii="Arial" w:hAnsi="Arial" w:cs="Arial"/>
          <w:sz w:val="20"/>
          <w:szCs w:val="20"/>
        </w:rPr>
      </w:pPr>
    </w:p>
    <w:p w:rsidR="00D9138B" w:rsidRDefault="00D9138B" w:rsidP="00D9138B">
      <w:pPr>
        <w:spacing w:after="0" w:line="240" w:lineRule="auto"/>
        <w:jc w:val="center"/>
        <w:rPr>
          <w:rFonts w:ascii="Arial" w:hAnsi="Arial" w:cs="Arial"/>
          <w:sz w:val="20"/>
          <w:szCs w:val="20"/>
        </w:rPr>
      </w:pPr>
    </w:p>
    <w:p w:rsidR="00D9138B" w:rsidRDefault="00D9138B" w:rsidP="00D9138B">
      <w:pPr>
        <w:spacing w:after="0" w:line="240" w:lineRule="auto"/>
        <w:jc w:val="center"/>
        <w:rPr>
          <w:rFonts w:ascii="Arial" w:hAnsi="Arial" w:cs="Arial"/>
          <w:sz w:val="20"/>
          <w:szCs w:val="20"/>
        </w:rPr>
      </w:pPr>
      <w:r>
        <w:rPr>
          <w:rFonts w:ascii="Arial" w:hAnsi="Arial" w:cs="Arial"/>
          <w:sz w:val="20"/>
          <w:szCs w:val="20"/>
        </w:rPr>
        <w:t>JURACY FERREIRA DA SILVA</w:t>
      </w:r>
    </w:p>
    <w:p w:rsidR="00D9138B" w:rsidRDefault="00D9138B" w:rsidP="00D9138B">
      <w:pPr>
        <w:spacing w:after="0" w:line="240" w:lineRule="auto"/>
        <w:jc w:val="center"/>
        <w:rPr>
          <w:rFonts w:ascii="Arial" w:hAnsi="Arial" w:cs="Arial"/>
          <w:sz w:val="20"/>
          <w:szCs w:val="20"/>
        </w:rPr>
      </w:pPr>
      <w:r>
        <w:rPr>
          <w:rFonts w:ascii="Arial" w:hAnsi="Arial" w:cs="Arial"/>
          <w:sz w:val="20"/>
          <w:szCs w:val="20"/>
        </w:rPr>
        <w:t>Secretário Municipal de Governo</w:t>
      </w:r>
    </w:p>
    <w:p w:rsidR="00D9138B" w:rsidRDefault="00D9138B" w:rsidP="00D9138B">
      <w:pPr>
        <w:spacing w:after="0" w:line="240" w:lineRule="auto"/>
        <w:jc w:val="center"/>
        <w:rPr>
          <w:rFonts w:ascii="Arial" w:hAnsi="Arial" w:cs="Arial"/>
          <w:sz w:val="20"/>
          <w:szCs w:val="20"/>
        </w:rPr>
      </w:pPr>
    </w:p>
    <w:p w:rsidR="00D9138B" w:rsidRDefault="00D9138B" w:rsidP="00D9138B">
      <w:pPr>
        <w:spacing w:after="0" w:line="240" w:lineRule="auto"/>
        <w:jc w:val="center"/>
        <w:rPr>
          <w:rFonts w:ascii="Arial" w:hAnsi="Arial" w:cs="Arial"/>
          <w:sz w:val="20"/>
          <w:szCs w:val="20"/>
        </w:rPr>
      </w:pPr>
    </w:p>
    <w:p w:rsidR="00D9138B" w:rsidRDefault="00D9138B" w:rsidP="00D9138B">
      <w:pPr>
        <w:spacing w:after="0" w:line="240" w:lineRule="auto"/>
        <w:ind w:firstLine="4502"/>
        <w:jc w:val="both"/>
        <w:rPr>
          <w:rFonts w:ascii="Arial" w:hAnsi="Arial" w:cs="Arial"/>
          <w:sz w:val="20"/>
          <w:szCs w:val="20"/>
        </w:rPr>
      </w:pPr>
      <w:r>
        <w:rPr>
          <w:rFonts w:ascii="Arial" w:hAnsi="Arial" w:cs="Arial"/>
          <w:sz w:val="20"/>
          <w:szCs w:val="20"/>
        </w:rPr>
        <w:t>Registrada</w:t>
      </w:r>
      <w:r w:rsidRPr="00970B46">
        <w:rPr>
          <w:rFonts w:ascii="Arial" w:hAnsi="Arial" w:cs="Arial"/>
          <w:sz w:val="20"/>
          <w:szCs w:val="20"/>
        </w:rPr>
        <w:t xml:space="preserve"> na Secretaria Municipal de Administração </w:t>
      </w:r>
      <w:r>
        <w:rPr>
          <w:rFonts w:ascii="Arial" w:hAnsi="Arial" w:cs="Arial"/>
          <w:sz w:val="20"/>
          <w:szCs w:val="20"/>
        </w:rPr>
        <w:t>–</w:t>
      </w:r>
      <w:r w:rsidRPr="00970B46">
        <w:rPr>
          <w:rFonts w:ascii="Arial" w:hAnsi="Arial" w:cs="Arial"/>
          <w:sz w:val="20"/>
          <w:szCs w:val="20"/>
        </w:rPr>
        <w:t xml:space="preserve"> </w:t>
      </w:r>
      <w:r>
        <w:rPr>
          <w:rFonts w:ascii="Arial" w:hAnsi="Arial" w:cs="Arial"/>
          <w:sz w:val="20"/>
          <w:szCs w:val="20"/>
        </w:rPr>
        <w:t>Divisão de expediente e Documentação</w:t>
      </w:r>
      <w:r w:rsidRPr="00970B46">
        <w:rPr>
          <w:rFonts w:ascii="Arial" w:hAnsi="Arial" w:cs="Arial"/>
          <w:sz w:val="20"/>
          <w:szCs w:val="20"/>
        </w:rPr>
        <w:t xml:space="preserve"> e publicad</w:t>
      </w:r>
      <w:r>
        <w:rPr>
          <w:rFonts w:ascii="Arial" w:hAnsi="Arial" w:cs="Arial"/>
          <w:sz w:val="20"/>
          <w:szCs w:val="20"/>
        </w:rPr>
        <w:t>a</w:t>
      </w:r>
      <w:r w:rsidRPr="00970B46">
        <w:rPr>
          <w:rFonts w:ascii="Arial" w:hAnsi="Arial" w:cs="Arial"/>
          <w:sz w:val="20"/>
          <w:szCs w:val="20"/>
        </w:rPr>
        <w:t xml:space="preserve"> no Quadr</w:t>
      </w:r>
      <w:r>
        <w:rPr>
          <w:rFonts w:ascii="Arial" w:hAnsi="Arial" w:cs="Arial"/>
          <w:sz w:val="20"/>
          <w:szCs w:val="20"/>
        </w:rPr>
        <w:t>o de Editais do Paço Municipal d</w:t>
      </w:r>
      <w:r w:rsidRPr="00970B46">
        <w:rPr>
          <w:rFonts w:ascii="Arial" w:hAnsi="Arial" w:cs="Arial"/>
          <w:sz w:val="20"/>
          <w:szCs w:val="20"/>
        </w:rPr>
        <w:t>a mesma data.</w:t>
      </w:r>
    </w:p>
    <w:p w:rsidR="00D9138B" w:rsidRDefault="00D9138B" w:rsidP="00D9138B">
      <w:pPr>
        <w:spacing w:after="0" w:line="240" w:lineRule="auto"/>
        <w:ind w:firstLine="4502"/>
        <w:jc w:val="both"/>
        <w:rPr>
          <w:rFonts w:ascii="Arial" w:hAnsi="Arial" w:cs="Arial"/>
          <w:sz w:val="20"/>
          <w:szCs w:val="20"/>
        </w:rPr>
      </w:pPr>
    </w:p>
    <w:p w:rsidR="00D9138B" w:rsidRPr="00A5501B" w:rsidRDefault="00D9138B" w:rsidP="00D9138B">
      <w:pPr>
        <w:tabs>
          <w:tab w:val="left" w:pos="7196"/>
        </w:tabs>
        <w:spacing w:after="0" w:line="240" w:lineRule="auto"/>
        <w:ind w:firstLine="4502"/>
        <w:jc w:val="both"/>
        <w:rPr>
          <w:rFonts w:ascii="Arial" w:hAnsi="Arial" w:cs="Arial"/>
          <w:sz w:val="20"/>
          <w:szCs w:val="20"/>
        </w:rPr>
      </w:pPr>
    </w:p>
    <w:p w:rsidR="00D9138B" w:rsidRDefault="00D9138B" w:rsidP="00D9138B">
      <w:pPr>
        <w:tabs>
          <w:tab w:val="left" w:pos="7196"/>
        </w:tabs>
        <w:spacing w:after="0" w:line="240" w:lineRule="auto"/>
        <w:jc w:val="center"/>
        <w:rPr>
          <w:rFonts w:ascii="Arial" w:hAnsi="Arial" w:cs="Arial"/>
          <w:sz w:val="20"/>
          <w:szCs w:val="20"/>
        </w:rPr>
      </w:pPr>
      <w:r>
        <w:rPr>
          <w:rFonts w:ascii="Arial" w:hAnsi="Arial" w:cs="Arial"/>
          <w:sz w:val="20"/>
          <w:szCs w:val="20"/>
        </w:rPr>
        <w:t>ARNALDO ANTUNES DE SOUZA</w:t>
      </w:r>
    </w:p>
    <w:p w:rsidR="00D9138B" w:rsidRDefault="00D9138B" w:rsidP="00D9138B">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e Administração</w:t>
      </w:r>
    </w:p>
    <w:p w:rsidR="00D9138B" w:rsidRDefault="00D9138B" w:rsidP="00D9138B">
      <w:pPr>
        <w:spacing w:after="0" w:line="240" w:lineRule="auto"/>
        <w:jc w:val="both"/>
        <w:rPr>
          <w:rFonts w:ascii="Arial" w:hAnsi="Arial" w:cs="Arial"/>
          <w:color w:val="FF0000"/>
          <w:sz w:val="20"/>
          <w:szCs w:val="20"/>
        </w:rPr>
      </w:pPr>
    </w:p>
    <w:p w:rsidR="00D9138B" w:rsidRDefault="00D9138B" w:rsidP="00D9138B">
      <w:pPr>
        <w:spacing w:after="0" w:line="240" w:lineRule="auto"/>
        <w:jc w:val="both"/>
        <w:rPr>
          <w:rFonts w:ascii="Arial" w:hAnsi="Arial" w:cs="Arial"/>
          <w:color w:val="FF0000"/>
          <w:sz w:val="20"/>
          <w:szCs w:val="20"/>
        </w:rPr>
      </w:pPr>
    </w:p>
    <w:p w:rsidR="00D9138B" w:rsidRPr="00104D08" w:rsidRDefault="00D9138B" w:rsidP="00D9138B">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D9138B" w:rsidRDefault="00D9138B" w:rsidP="00D9138B">
      <w:pPr>
        <w:spacing w:after="0" w:line="240" w:lineRule="auto"/>
        <w:ind w:firstLine="4502"/>
        <w:jc w:val="both"/>
        <w:rPr>
          <w:rFonts w:ascii="Arial" w:hAnsi="Arial" w:cs="Arial"/>
          <w:sz w:val="20"/>
          <w:szCs w:val="20"/>
        </w:rPr>
      </w:pPr>
    </w:p>
    <w:p w:rsidR="00D9138B" w:rsidRDefault="00D9138B" w:rsidP="00D9138B">
      <w:pPr>
        <w:spacing w:after="0" w:line="240" w:lineRule="auto"/>
        <w:ind w:firstLine="4502"/>
        <w:jc w:val="both"/>
        <w:rPr>
          <w:rFonts w:ascii="Arial" w:hAnsi="Arial" w:cs="Arial"/>
          <w:sz w:val="20"/>
          <w:szCs w:val="20"/>
        </w:rPr>
      </w:pPr>
    </w:p>
    <w:p w:rsidR="00D9138B" w:rsidRPr="004054F6" w:rsidRDefault="00D9138B" w:rsidP="00D9138B">
      <w:pPr>
        <w:spacing w:after="0" w:line="240" w:lineRule="auto"/>
        <w:ind w:firstLine="4502"/>
        <w:jc w:val="both"/>
        <w:rPr>
          <w:rFonts w:ascii="Arial" w:hAnsi="Arial" w:cs="Arial"/>
          <w:sz w:val="20"/>
          <w:szCs w:val="20"/>
        </w:rPr>
      </w:pPr>
    </w:p>
    <w:p w:rsidR="00D9138B" w:rsidRDefault="00D9138B" w:rsidP="00D9138B"/>
    <w:p w:rsidR="00893531" w:rsidRPr="00D9138B" w:rsidRDefault="00893531" w:rsidP="00D9138B"/>
    <w:sectPr w:rsidR="00893531" w:rsidRPr="00D9138B"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DCF" w:rsidRDefault="00131DCF" w:rsidP="009243B3">
      <w:pPr>
        <w:spacing w:after="0" w:line="240" w:lineRule="auto"/>
      </w:pPr>
      <w:r>
        <w:separator/>
      </w:r>
    </w:p>
  </w:endnote>
  <w:endnote w:type="continuationSeparator" w:id="0">
    <w:p w:rsidR="00131DCF" w:rsidRDefault="00131DC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20002287" w:usb1="00000000" w:usb2="00000000"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DCF" w:rsidRDefault="00131DCF" w:rsidP="009243B3">
      <w:pPr>
        <w:spacing w:after="0" w:line="240" w:lineRule="auto"/>
      </w:pPr>
      <w:r>
        <w:separator/>
      </w:r>
    </w:p>
  </w:footnote>
  <w:footnote w:type="continuationSeparator" w:id="0">
    <w:p w:rsidR="00131DCF" w:rsidRDefault="00131DC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252E5"/>
    <w:rsid w:val="00037020"/>
    <w:rsid w:val="00041101"/>
    <w:rsid w:val="00043BCA"/>
    <w:rsid w:val="00046C5E"/>
    <w:rsid w:val="000503B3"/>
    <w:rsid w:val="00052965"/>
    <w:rsid w:val="00055FC3"/>
    <w:rsid w:val="00064130"/>
    <w:rsid w:val="0006436E"/>
    <w:rsid w:val="00067003"/>
    <w:rsid w:val="00067F15"/>
    <w:rsid w:val="00076691"/>
    <w:rsid w:val="00080583"/>
    <w:rsid w:val="00083181"/>
    <w:rsid w:val="00083DA7"/>
    <w:rsid w:val="0008487F"/>
    <w:rsid w:val="0009090A"/>
    <w:rsid w:val="00094A25"/>
    <w:rsid w:val="000A24D5"/>
    <w:rsid w:val="000A358E"/>
    <w:rsid w:val="000A654D"/>
    <w:rsid w:val="000B12C9"/>
    <w:rsid w:val="000B3980"/>
    <w:rsid w:val="000C0192"/>
    <w:rsid w:val="000C05F7"/>
    <w:rsid w:val="000C33EA"/>
    <w:rsid w:val="000E1467"/>
    <w:rsid w:val="000F1F54"/>
    <w:rsid w:val="001101E3"/>
    <w:rsid w:val="00113A2D"/>
    <w:rsid w:val="001210AF"/>
    <w:rsid w:val="0012547D"/>
    <w:rsid w:val="0012556D"/>
    <w:rsid w:val="00127124"/>
    <w:rsid w:val="00131DCF"/>
    <w:rsid w:val="00156B9F"/>
    <w:rsid w:val="00167BA9"/>
    <w:rsid w:val="00171F30"/>
    <w:rsid w:val="0017627F"/>
    <w:rsid w:val="001777CF"/>
    <w:rsid w:val="00180017"/>
    <w:rsid w:val="00192AD2"/>
    <w:rsid w:val="001945C5"/>
    <w:rsid w:val="001A1BC2"/>
    <w:rsid w:val="001A4A55"/>
    <w:rsid w:val="001B3140"/>
    <w:rsid w:val="001B3BD4"/>
    <w:rsid w:val="001B7C58"/>
    <w:rsid w:val="001C3277"/>
    <w:rsid w:val="001D092F"/>
    <w:rsid w:val="001D2561"/>
    <w:rsid w:val="001D43C8"/>
    <w:rsid w:val="001E6101"/>
    <w:rsid w:val="001F18F1"/>
    <w:rsid w:val="002012D7"/>
    <w:rsid w:val="002023FA"/>
    <w:rsid w:val="00203B0F"/>
    <w:rsid w:val="00210920"/>
    <w:rsid w:val="00210E53"/>
    <w:rsid w:val="00222685"/>
    <w:rsid w:val="00225D26"/>
    <w:rsid w:val="002321EB"/>
    <w:rsid w:val="002351C3"/>
    <w:rsid w:val="002419A5"/>
    <w:rsid w:val="00244313"/>
    <w:rsid w:val="00261409"/>
    <w:rsid w:val="00281AEB"/>
    <w:rsid w:val="002822BE"/>
    <w:rsid w:val="002829A1"/>
    <w:rsid w:val="00293F09"/>
    <w:rsid w:val="0029461F"/>
    <w:rsid w:val="002A6DED"/>
    <w:rsid w:val="002A6F7B"/>
    <w:rsid w:val="002B11B8"/>
    <w:rsid w:val="002B3C96"/>
    <w:rsid w:val="002C6E96"/>
    <w:rsid w:val="002C7AE2"/>
    <w:rsid w:val="002C7F7F"/>
    <w:rsid w:val="002D2B98"/>
    <w:rsid w:val="002D4DB7"/>
    <w:rsid w:val="002D573B"/>
    <w:rsid w:val="002F02EC"/>
    <w:rsid w:val="002F4336"/>
    <w:rsid w:val="0030464B"/>
    <w:rsid w:val="00310EFA"/>
    <w:rsid w:val="00311002"/>
    <w:rsid w:val="00311C4B"/>
    <w:rsid w:val="003156DD"/>
    <w:rsid w:val="003228FD"/>
    <w:rsid w:val="00332B84"/>
    <w:rsid w:val="00336657"/>
    <w:rsid w:val="00345867"/>
    <w:rsid w:val="0035016C"/>
    <w:rsid w:val="0035111B"/>
    <w:rsid w:val="00365F3E"/>
    <w:rsid w:val="00381718"/>
    <w:rsid w:val="00386AF8"/>
    <w:rsid w:val="00391B02"/>
    <w:rsid w:val="003977F5"/>
    <w:rsid w:val="003A035E"/>
    <w:rsid w:val="003A2325"/>
    <w:rsid w:val="003A4918"/>
    <w:rsid w:val="003A5F5E"/>
    <w:rsid w:val="003B2632"/>
    <w:rsid w:val="003C0805"/>
    <w:rsid w:val="003D55A4"/>
    <w:rsid w:val="003D7FCC"/>
    <w:rsid w:val="003E64D8"/>
    <w:rsid w:val="003F0F0E"/>
    <w:rsid w:val="003F1286"/>
    <w:rsid w:val="003F13C3"/>
    <w:rsid w:val="003F2DEF"/>
    <w:rsid w:val="003F4DB4"/>
    <w:rsid w:val="00401C7C"/>
    <w:rsid w:val="004049B8"/>
    <w:rsid w:val="00405D95"/>
    <w:rsid w:val="00407601"/>
    <w:rsid w:val="004328E2"/>
    <w:rsid w:val="00435B45"/>
    <w:rsid w:val="0043641C"/>
    <w:rsid w:val="004465D5"/>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54DD"/>
    <w:rsid w:val="004D6D8B"/>
    <w:rsid w:val="004D7C09"/>
    <w:rsid w:val="004E0B0B"/>
    <w:rsid w:val="004E3707"/>
    <w:rsid w:val="004E6B17"/>
    <w:rsid w:val="004E6F49"/>
    <w:rsid w:val="004F2740"/>
    <w:rsid w:val="004F7E07"/>
    <w:rsid w:val="005008A1"/>
    <w:rsid w:val="00501F30"/>
    <w:rsid w:val="00503AD0"/>
    <w:rsid w:val="00510941"/>
    <w:rsid w:val="00513773"/>
    <w:rsid w:val="00521A20"/>
    <w:rsid w:val="00521F2C"/>
    <w:rsid w:val="00532B27"/>
    <w:rsid w:val="00532C37"/>
    <w:rsid w:val="0053732D"/>
    <w:rsid w:val="00541748"/>
    <w:rsid w:val="0054520A"/>
    <w:rsid w:val="00547341"/>
    <w:rsid w:val="00547A1A"/>
    <w:rsid w:val="005523F2"/>
    <w:rsid w:val="00565D70"/>
    <w:rsid w:val="00566B36"/>
    <w:rsid w:val="005672CB"/>
    <w:rsid w:val="00573611"/>
    <w:rsid w:val="00583289"/>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D7DFE"/>
    <w:rsid w:val="005E476B"/>
    <w:rsid w:val="005F00D1"/>
    <w:rsid w:val="005F3A88"/>
    <w:rsid w:val="0062251A"/>
    <w:rsid w:val="00623895"/>
    <w:rsid w:val="00631585"/>
    <w:rsid w:val="00660391"/>
    <w:rsid w:val="0066599D"/>
    <w:rsid w:val="00670958"/>
    <w:rsid w:val="00680972"/>
    <w:rsid w:val="0068205D"/>
    <w:rsid w:val="00682928"/>
    <w:rsid w:val="006832C4"/>
    <w:rsid w:val="00693531"/>
    <w:rsid w:val="00695746"/>
    <w:rsid w:val="00697DEF"/>
    <w:rsid w:val="006B04C0"/>
    <w:rsid w:val="006B12AB"/>
    <w:rsid w:val="006B523D"/>
    <w:rsid w:val="006B7A75"/>
    <w:rsid w:val="006C0105"/>
    <w:rsid w:val="006C4592"/>
    <w:rsid w:val="006C76B1"/>
    <w:rsid w:val="006D0BF8"/>
    <w:rsid w:val="006D0F49"/>
    <w:rsid w:val="006D364D"/>
    <w:rsid w:val="006E24C1"/>
    <w:rsid w:val="006E6CD6"/>
    <w:rsid w:val="00702408"/>
    <w:rsid w:val="00704C89"/>
    <w:rsid w:val="00706A3F"/>
    <w:rsid w:val="007167F9"/>
    <w:rsid w:val="00733CF2"/>
    <w:rsid w:val="00736AA0"/>
    <w:rsid w:val="0074429B"/>
    <w:rsid w:val="0075248E"/>
    <w:rsid w:val="00770BAA"/>
    <w:rsid w:val="00776B8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03FA"/>
    <w:rsid w:val="007F5117"/>
    <w:rsid w:val="007F6767"/>
    <w:rsid w:val="0081386B"/>
    <w:rsid w:val="00815017"/>
    <w:rsid w:val="00817E99"/>
    <w:rsid w:val="0082154A"/>
    <w:rsid w:val="00823F0A"/>
    <w:rsid w:val="00823FDB"/>
    <w:rsid w:val="00826443"/>
    <w:rsid w:val="00826465"/>
    <w:rsid w:val="00830FB1"/>
    <w:rsid w:val="0083796D"/>
    <w:rsid w:val="00843FFA"/>
    <w:rsid w:val="00846DC3"/>
    <w:rsid w:val="00853BAF"/>
    <w:rsid w:val="00855D61"/>
    <w:rsid w:val="0085665C"/>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6CF"/>
    <w:rsid w:val="009013F6"/>
    <w:rsid w:val="00902EA7"/>
    <w:rsid w:val="00903B34"/>
    <w:rsid w:val="0090633E"/>
    <w:rsid w:val="00911264"/>
    <w:rsid w:val="0091592F"/>
    <w:rsid w:val="009165D5"/>
    <w:rsid w:val="009172D0"/>
    <w:rsid w:val="009243B3"/>
    <w:rsid w:val="00931B46"/>
    <w:rsid w:val="0094799A"/>
    <w:rsid w:val="009513B6"/>
    <w:rsid w:val="00961104"/>
    <w:rsid w:val="00964294"/>
    <w:rsid w:val="00966FC8"/>
    <w:rsid w:val="0097276A"/>
    <w:rsid w:val="00973752"/>
    <w:rsid w:val="009823E4"/>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8BD"/>
    <w:rsid w:val="009E6101"/>
    <w:rsid w:val="009F3F60"/>
    <w:rsid w:val="009F6656"/>
    <w:rsid w:val="009F7318"/>
    <w:rsid w:val="009F73DF"/>
    <w:rsid w:val="00A06E3D"/>
    <w:rsid w:val="00A118A9"/>
    <w:rsid w:val="00A15C78"/>
    <w:rsid w:val="00A20CC1"/>
    <w:rsid w:val="00A2219E"/>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3AD5"/>
    <w:rsid w:val="00AC1FE7"/>
    <w:rsid w:val="00AC4600"/>
    <w:rsid w:val="00AC6123"/>
    <w:rsid w:val="00AD0587"/>
    <w:rsid w:val="00AD1673"/>
    <w:rsid w:val="00AD30AC"/>
    <w:rsid w:val="00AE19E8"/>
    <w:rsid w:val="00AE226A"/>
    <w:rsid w:val="00AF1CDB"/>
    <w:rsid w:val="00B024F8"/>
    <w:rsid w:val="00B04C76"/>
    <w:rsid w:val="00B133FC"/>
    <w:rsid w:val="00B15C06"/>
    <w:rsid w:val="00B207F5"/>
    <w:rsid w:val="00B215BD"/>
    <w:rsid w:val="00B223E0"/>
    <w:rsid w:val="00B337B4"/>
    <w:rsid w:val="00B43377"/>
    <w:rsid w:val="00B4652C"/>
    <w:rsid w:val="00B4659E"/>
    <w:rsid w:val="00B60B70"/>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1352A"/>
    <w:rsid w:val="00C2146C"/>
    <w:rsid w:val="00C276DF"/>
    <w:rsid w:val="00C33FE0"/>
    <w:rsid w:val="00C34DB3"/>
    <w:rsid w:val="00C369F9"/>
    <w:rsid w:val="00C45290"/>
    <w:rsid w:val="00C5222A"/>
    <w:rsid w:val="00C57001"/>
    <w:rsid w:val="00C63653"/>
    <w:rsid w:val="00C6453D"/>
    <w:rsid w:val="00C95624"/>
    <w:rsid w:val="00C96422"/>
    <w:rsid w:val="00CA2786"/>
    <w:rsid w:val="00CA2FA0"/>
    <w:rsid w:val="00CA3B92"/>
    <w:rsid w:val="00CB560A"/>
    <w:rsid w:val="00CC1816"/>
    <w:rsid w:val="00CC4227"/>
    <w:rsid w:val="00CD1FEC"/>
    <w:rsid w:val="00CD27FD"/>
    <w:rsid w:val="00CD40B4"/>
    <w:rsid w:val="00CD54A7"/>
    <w:rsid w:val="00CD7F7C"/>
    <w:rsid w:val="00CE2EC6"/>
    <w:rsid w:val="00CE5FFC"/>
    <w:rsid w:val="00CF6EE2"/>
    <w:rsid w:val="00CF712B"/>
    <w:rsid w:val="00D03495"/>
    <w:rsid w:val="00D0525B"/>
    <w:rsid w:val="00D20F01"/>
    <w:rsid w:val="00D22B4B"/>
    <w:rsid w:val="00D330AB"/>
    <w:rsid w:val="00D44CEE"/>
    <w:rsid w:val="00D512DA"/>
    <w:rsid w:val="00D6054F"/>
    <w:rsid w:val="00D71FDD"/>
    <w:rsid w:val="00D72469"/>
    <w:rsid w:val="00D80737"/>
    <w:rsid w:val="00D85118"/>
    <w:rsid w:val="00D9138B"/>
    <w:rsid w:val="00DA1FB8"/>
    <w:rsid w:val="00DA5393"/>
    <w:rsid w:val="00DA75D1"/>
    <w:rsid w:val="00DA7D32"/>
    <w:rsid w:val="00DC434A"/>
    <w:rsid w:val="00DD0994"/>
    <w:rsid w:val="00DE06D5"/>
    <w:rsid w:val="00DE571C"/>
    <w:rsid w:val="00DF6F9B"/>
    <w:rsid w:val="00E03E00"/>
    <w:rsid w:val="00E07F92"/>
    <w:rsid w:val="00E13254"/>
    <w:rsid w:val="00E14834"/>
    <w:rsid w:val="00E23C8F"/>
    <w:rsid w:val="00E25E08"/>
    <w:rsid w:val="00E32B17"/>
    <w:rsid w:val="00E36FFA"/>
    <w:rsid w:val="00E41EC5"/>
    <w:rsid w:val="00E45F16"/>
    <w:rsid w:val="00E55B53"/>
    <w:rsid w:val="00E60260"/>
    <w:rsid w:val="00E7247F"/>
    <w:rsid w:val="00E81269"/>
    <w:rsid w:val="00EA43EE"/>
    <w:rsid w:val="00EB3011"/>
    <w:rsid w:val="00EC2A7A"/>
    <w:rsid w:val="00EC3D66"/>
    <w:rsid w:val="00EC5676"/>
    <w:rsid w:val="00EC5C60"/>
    <w:rsid w:val="00EC6E09"/>
    <w:rsid w:val="00ED0DA3"/>
    <w:rsid w:val="00ED3646"/>
    <w:rsid w:val="00ED55E7"/>
    <w:rsid w:val="00ED6E30"/>
    <w:rsid w:val="00ED7CDF"/>
    <w:rsid w:val="00EE0FBE"/>
    <w:rsid w:val="00EE3A16"/>
    <w:rsid w:val="00EE50BB"/>
    <w:rsid w:val="00EF2C6B"/>
    <w:rsid w:val="00EF62CB"/>
    <w:rsid w:val="00F012AA"/>
    <w:rsid w:val="00F02B54"/>
    <w:rsid w:val="00F04EDA"/>
    <w:rsid w:val="00F11B4E"/>
    <w:rsid w:val="00F11E04"/>
    <w:rsid w:val="00F1285A"/>
    <w:rsid w:val="00F15C08"/>
    <w:rsid w:val="00F175C5"/>
    <w:rsid w:val="00F26D12"/>
    <w:rsid w:val="00F276B2"/>
    <w:rsid w:val="00F303FD"/>
    <w:rsid w:val="00F34ED9"/>
    <w:rsid w:val="00F362B3"/>
    <w:rsid w:val="00F4054F"/>
    <w:rsid w:val="00F409DF"/>
    <w:rsid w:val="00F41D7F"/>
    <w:rsid w:val="00F4474F"/>
    <w:rsid w:val="00F62A23"/>
    <w:rsid w:val="00F6487F"/>
    <w:rsid w:val="00F64ED2"/>
    <w:rsid w:val="00F65AF5"/>
    <w:rsid w:val="00F67091"/>
    <w:rsid w:val="00F676D3"/>
    <w:rsid w:val="00F76757"/>
    <w:rsid w:val="00F86179"/>
    <w:rsid w:val="00F90E0B"/>
    <w:rsid w:val="00F9339F"/>
    <w:rsid w:val="00F95A20"/>
    <w:rsid w:val="00FA7CA5"/>
    <w:rsid w:val="00FB40DC"/>
    <w:rsid w:val="00FB4FFA"/>
    <w:rsid w:val="00FB635A"/>
    <w:rsid w:val="00FC2C0A"/>
    <w:rsid w:val="00FC4D8E"/>
    <w:rsid w:val="00FD3FEB"/>
    <w:rsid w:val="00FE20FD"/>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15F2A"/>
  <w15:docId w15:val="{51DB3714-49D8-4DAB-926C-0362F4B5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3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2019-06-13T01:05:00Z</dcterms:created>
  <dcterms:modified xsi:type="dcterms:W3CDTF">2019-06-27T18:14:00Z</dcterms:modified>
</cp:coreProperties>
</file>