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0F35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</w:t>
      </w:r>
      <w:r w:rsidR="00694B00">
        <w:rPr>
          <w:rFonts w:ascii="Arial" w:hAnsi="Arial" w:cs="Arial"/>
          <w:b/>
          <w:sz w:val="20"/>
          <w:szCs w:val="20"/>
        </w:rPr>
        <w:t>12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A10FF">
        <w:rPr>
          <w:rFonts w:ascii="Arial" w:hAnsi="Arial" w:cs="Arial"/>
          <w:b/>
          <w:sz w:val="20"/>
          <w:szCs w:val="20"/>
        </w:rPr>
        <w:t>1</w:t>
      </w:r>
      <w:r w:rsidR="00694B00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94B00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694B00">
        <w:rPr>
          <w:rFonts w:ascii="Arial" w:hAnsi="Arial" w:cs="Arial"/>
          <w:b/>
          <w:sz w:val="20"/>
          <w:szCs w:val="20"/>
        </w:rPr>
        <w:t>6</w:t>
      </w:r>
    </w:p>
    <w:p w:rsidR="000F35C4" w:rsidRPr="00F11B4E" w:rsidRDefault="000F35C4" w:rsidP="000F35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694B00" w:rsidP="000F35C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Introduz modificações que especifica ao art. 3</w:t>
      </w:r>
      <w:r>
        <w:rPr>
          <w:rFonts w:ascii="Arial" w:hAnsi="Arial" w:cs="Arial"/>
          <w:sz w:val="20"/>
          <w:szCs w:val="20"/>
        </w:rPr>
        <w:t>º</w:t>
      </w:r>
      <w:r w:rsidRPr="00421C9C">
        <w:rPr>
          <w:rFonts w:ascii="Arial" w:hAnsi="Arial" w:cs="Arial"/>
          <w:sz w:val="20"/>
          <w:szCs w:val="20"/>
        </w:rPr>
        <w:t xml:space="preserve"> da Lei Complementar n° 239/2010</w:t>
      </w:r>
      <w:r w:rsidR="005F00D1">
        <w:rPr>
          <w:rFonts w:ascii="Arial" w:hAnsi="Arial" w:cs="Arial"/>
          <w:sz w:val="20"/>
          <w:szCs w:val="20"/>
        </w:rPr>
        <w:t>.</w:t>
      </w:r>
    </w:p>
    <w:p w:rsidR="000F35C4" w:rsidRDefault="000F35C4" w:rsidP="000F35C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0F35C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694B00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9A60AF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694B00">
        <w:rPr>
          <w:rFonts w:ascii="Arial" w:hAnsi="Arial" w:cs="Arial"/>
          <w:sz w:val="20"/>
          <w:szCs w:val="20"/>
        </w:rPr>
        <w:t>O</w:t>
      </w:r>
      <w:r w:rsidR="00421C9C" w:rsidRPr="00421C9C">
        <w:rPr>
          <w:rFonts w:ascii="Arial" w:hAnsi="Arial" w:cs="Arial"/>
          <w:sz w:val="20"/>
          <w:szCs w:val="20"/>
        </w:rPr>
        <w:t xml:space="preserve"> art. 3</w:t>
      </w:r>
      <w:r w:rsidR="00694B00">
        <w:rPr>
          <w:rFonts w:ascii="Arial" w:hAnsi="Arial" w:cs="Arial"/>
          <w:sz w:val="20"/>
          <w:szCs w:val="20"/>
        </w:rPr>
        <w:t>º</w:t>
      </w:r>
      <w:r w:rsidR="00421C9C" w:rsidRPr="00421C9C">
        <w:rPr>
          <w:rFonts w:ascii="Arial" w:hAnsi="Arial" w:cs="Arial"/>
          <w:sz w:val="20"/>
          <w:szCs w:val="20"/>
        </w:rPr>
        <w:t xml:space="preserve"> constante da Lei Complementar n° 239/2010, que dispõe sobre a criação da Coordenadoria Técnica de </w:t>
      </w:r>
      <w:r w:rsidR="00694B00" w:rsidRPr="00421C9C">
        <w:rPr>
          <w:rFonts w:ascii="Arial" w:hAnsi="Arial" w:cs="Arial"/>
          <w:sz w:val="20"/>
          <w:szCs w:val="20"/>
        </w:rPr>
        <w:t>Iluminação</w:t>
      </w:r>
      <w:r w:rsidR="00421C9C" w:rsidRPr="00421C9C">
        <w:rPr>
          <w:rFonts w:ascii="Arial" w:hAnsi="Arial" w:cs="Arial"/>
          <w:sz w:val="20"/>
          <w:szCs w:val="20"/>
        </w:rPr>
        <w:t xml:space="preserve"> Pública de Ferraz de Vasconcelos, e dá outras providências, alterada pela Lei Complementar n° 286/2014, passa a vigor</w:t>
      </w:r>
      <w:r w:rsidR="00694B00">
        <w:rPr>
          <w:rFonts w:ascii="Arial" w:hAnsi="Arial" w:cs="Arial"/>
          <w:sz w:val="20"/>
          <w:szCs w:val="20"/>
        </w:rPr>
        <w:t>ar com as seguintes alterações:</w:t>
      </w:r>
    </w:p>
    <w:p w:rsidR="00694B00" w:rsidRPr="00421C9C" w:rsidRDefault="00694B00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 3°</w:t>
      </w:r>
      <w:r w:rsidR="00421C9C" w:rsidRPr="00421C9C">
        <w:rPr>
          <w:rFonts w:ascii="Arial" w:hAnsi="Arial" w:cs="Arial"/>
          <w:sz w:val="20"/>
          <w:szCs w:val="20"/>
        </w:rPr>
        <w:t xml:space="preserve"> Com vistas a gerir, planejar e supervisionar de modo eficaz o funcionamento da Coordenadoria Técnica de Iluminação Pública e prestar assessoramento adequado à administração, ficam criados os seguintes cargos:</w:t>
      </w:r>
    </w:p>
    <w:p w:rsidR="00694B00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421C9C" w:rsidRPr="00421C9C">
        <w:rPr>
          <w:rFonts w:ascii="Arial" w:hAnsi="Arial" w:cs="Arial"/>
          <w:sz w:val="20"/>
          <w:szCs w:val="20"/>
        </w:rPr>
        <w:t>- 01 (um) cargo de Coordenador Municipal da CTIP, Referência "S", com as seguintes atribuições:</w:t>
      </w:r>
    </w:p>
    <w:p w:rsidR="00694B00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P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a)</w:t>
      </w:r>
      <w:r w:rsidR="00694B00">
        <w:rPr>
          <w:rFonts w:ascii="Arial" w:hAnsi="Arial" w:cs="Arial"/>
          <w:sz w:val="20"/>
          <w:szCs w:val="20"/>
        </w:rPr>
        <w:t xml:space="preserve"> </w:t>
      </w:r>
      <w:r w:rsidRPr="00421C9C">
        <w:rPr>
          <w:rFonts w:ascii="Arial" w:hAnsi="Arial" w:cs="Arial"/>
          <w:sz w:val="20"/>
          <w:szCs w:val="20"/>
        </w:rPr>
        <w:t xml:space="preserve">estudar, planejar, projetar, programar, implantar, direta ou indiretamente, e fiscalizar a ampliação e remodelação da rede de </w:t>
      </w:r>
      <w:r w:rsidR="00694B00" w:rsidRPr="00421C9C">
        <w:rPr>
          <w:rFonts w:ascii="Arial" w:hAnsi="Arial" w:cs="Arial"/>
          <w:sz w:val="20"/>
          <w:szCs w:val="20"/>
        </w:rPr>
        <w:t>iluminação</w:t>
      </w:r>
      <w:r w:rsidRPr="00421C9C">
        <w:rPr>
          <w:rFonts w:ascii="Arial" w:hAnsi="Arial" w:cs="Arial"/>
          <w:sz w:val="20"/>
          <w:szCs w:val="20"/>
        </w:rPr>
        <w:t xml:space="preserve"> pública, inclusive no que diz respeito às especificações, compra, rece</w:t>
      </w:r>
      <w:r w:rsidR="000F35C4">
        <w:rPr>
          <w:rFonts w:ascii="Arial" w:hAnsi="Arial" w:cs="Arial"/>
          <w:sz w:val="20"/>
          <w:szCs w:val="20"/>
        </w:rPr>
        <w:t>bimento, armazenamento, estoque</w:t>
      </w:r>
      <w:r w:rsidRPr="00421C9C">
        <w:rPr>
          <w:rFonts w:ascii="Arial" w:hAnsi="Arial" w:cs="Arial"/>
          <w:sz w:val="20"/>
          <w:szCs w:val="20"/>
        </w:rPr>
        <w:t xml:space="preserve"> e controle de qualidade do material utilizado, bem como fixar orientações normativas sobre assuntos de sua competência;</w:t>
      </w:r>
    </w:p>
    <w:p w:rsidR="00421C9C" w:rsidRP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b)</w:t>
      </w:r>
      <w:r w:rsidR="00694B00">
        <w:rPr>
          <w:rFonts w:ascii="Arial" w:hAnsi="Arial" w:cs="Arial"/>
          <w:sz w:val="20"/>
          <w:szCs w:val="20"/>
        </w:rPr>
        <w:t xml:space="preserve"> </w:t>
      </w:r>
      <w:r w:rsidRPr="00421C9C">
        <w:rPr>
          <w:rFonts w:ascii="Arial" w:hAnsi="Arial" w:cs="Arial"/>
          <w:sz w:val="20"/>
          <w:szCs w:val="20"/>
        </w:rPr>
        <w:t>articular a ação entre os diversos órgãos governamentais, com o objetivo de melhorar e ampliar a</w:t>
      </w:r>
      <w:r w:rsidR="00694B00">
        <w:rPr>
          <w:rFonts w:ascii="Arial" w:hAnsi="Arial" w:cs="Arial"/>
          <w:sz w:val="20"/>
          <w:szCs w:val="20"/>
        </w:rPr>
        <w:t xml:space="preserve"> </w:t>
      </w:r>
      <w:r w:rsidRPr="00421C9C">
        <w:rPr>
          <w:rFonts w:ascii="Arial" w:hAnsi="Arial" w:cs="Arial"/>
          <w:sz w:val="20"/>
          <w:szCs w:val="20"/>
        </w:rPr>
        <w:t>infraestrutura de Iluminação pública;</w:t>
      </w:r>
    </w:p>
    <w:p w:rsidR="00421C9C" w:rsidRP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c)</w:t>
      </w:r>
      <w:r w:rsidR="00694B00">
        <w:rPr>
          <w:rFonts w:ascii="Arial" w:hAnsi="Arial" w:cs="Arial"/>
          <w:sz w:val="20"/>
          <w:szCs w:val="20"/>
        </w:rPr>
        <w:t xml:space="preserve"> </w:t>
      </w:r>
      <w:r w:rsidRPr="00421C9C">
        <w:rPr>
          <w:rFonts w:ascii="Arial" w:hAnsi="Arial" w:cs="Arial"/>
          <w:sz w:val="20"/>
          <w:szCs w:val="20"/>
        </w:rPr>
        <w:t>contribuir no planejamento, coordenação e fiscalização de ações relacionadas aos serviços de iluminação pública;</w:t>
      </w:r>
    </w:p>
    <w:p w:rsidR="00421C9C" w:rsidRP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d)</w:t>
      </w:r>
      <w:r w:rsidR="00694B00">
        <w:rPr>
          <w:rFonts w:ascii="Arial" w:hAnsi="Arial" w:cs="Arial"/>
          <w:sz w:val="20"/>
          <w:szCs w:val="20"/>
        </w:rPr>
        <w:t xml:space="preserve"> </w:t>
      </w:r>
      <w:r w:rsidRPr="00421C9C">
        <w:rPr>
          <w:rFonts w:ascii="Arial" w:hAnsi="Arial" w:cs="Arial"/>
          <w:sz w:val="20"/>
          <w:szCs w:val="20"/>
        </w:rPr>
        <w:t>planejar, construir, ampliar, reformar, administrar e fiscalizar, direta ou indiretamente, equipamentos relacionados com os serviços de iluminação pública;</w:t>
      </w:r>
      <w:r w:rsidRPr="00421C9C">
        <w:rPr>
          <w:rFonts w:ascii="Arial" w:hAnsi="Arial" w:cs="Arial"/>
          <w:sz w:val="20"/>
          <w:szCs w:val="20"/>
        </w:rPr>
        <w:t> </w:t>
      </w:r>
    </w:p>
    <w:p w:rsidR="00421C9C" w:rsidRP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e) gerir a aplicação da Contribuição para Custeio de Iluminação Pública, no território sob sua competência, conforme regulamento do Poder Executivo.</w:t>
      </w:r>
    </w:p>
    <w:p w:rsidR="00694B00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II - 01 (um) cargo de Assessor de Co</w:t>
      </w:r>
      <w:r w:rsidR="00694B00">
        <w:rPr>
          <w:rFonts w:ascii="Arial" w:hAnsi="Arial" w:cs="Arial"/>
          <w:sz w:val="20"/>
          <w:szCs w:val="20"/>
        </w:rPr>
        <w:t>ordenadoria da CTIP Referência “</w:t>
      </w:r>
      <w:r w:rsidRPr="00421C9C">
        <w:rPr>
          <w:rFonts w:ascii="Arial" w:hAnsi="Arial" w:cs="Arial"/>
          <w:sz w:val="20"/>
          <w:szCs w:val="20"/>
        </w:rPr>
        <w:t>R", com as seguintes atribuições:</w:t>
      </w:r>
    </w:p>
    <w:p w:rsidR="00694B00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Pr="00694B00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4B00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421C9C" w:rsidRPr="00694B00">
        <w:rPr>
          <w:rFonts w:ascii="Arial" w:hAnsi="Arial" w:cs="Arial"/>
          <w:sz w:val="20"/>
          <w:szCs w:val="20"/>
        </w:rPr>
        <w:t>executar os serviços de análise de projetos e fiscalização das ações relacionadas aos serviços de iluminação pública;</w:t>
      </w:r>
    </w:p>
    <w:p w:rsidR="00421C9C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421C9C" w:rsidRPr="00421C9C">
        <w:rPr>
          <w:rFonts w:ascii="Arial" w:hAnsi="Arial" w:cs="Arial"/>
          <w:sz w:val="20"/>
          <w:szCs w:val="20"/>
        </w:rPr>
        <w:t>controlar, analisar e supervisionar a iluminação de prédios públicos, praças, avenidas e áreas de lazer;</w:t>
      </w:r>
    </w:p>
    <w:p w:rsidR="00421C9C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421C9C" w:rsidRPr="00421C9C">
        <w:rPr>
          <w:rFonts w:ascii="Arial" w:hAnsi="Arial" w:cs="Arial"/>
          <w:sz w:val="20"/>
          <w:szCs w:val="20"/>
        </w:rPr>
        <w:t>manter cadastro atualizado das unidades de iluminação pública, bem como controlar e fiscalizar a instalação e funcionamento de iluminação em vias públicas;</w:t>
      </w:r>
    </w:p>
    <w:p w:rsid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421C9C" w:rsidRPr="00421C9C">
        <w:rPr>
          <w:rFonts w:ascii="Arial" w:hAnsi="Arial" w:cs="Arial"/>
          <w:sz w:val="20"/>
          <w:szCs w:val="20"/>
        </w:rPr>
        <w:t xml:space="preserve">exercer outras atividades </w:t>
      </w:r>
      <w:r w:rsidRPr="00421C9C">
        <w:rPr>
          <w:rFonts w:ascii="Arial" w:hAnsi="Arial" w:cs="Arial"/>
          <w:sz w:val="20"/>
          <w:szCs w:val="20"/>
        </w:rPr>
        <w:t>correlatas</w:t>
      </w:r>
      <w:r w:rsidR="00421C9C" w:rsidRPr="00421C9C">
        <w:rPr>
          <w:rFonts w:ascii="Arial" w:hAnsi="Arial" w:cs="Arial"/>
          <w:sz w:val="20"/>
          <w:szCs w:val="20"/>
        </w:rPr>
        <w:t xml:space="preserve"> à sua </w:t>
      </w:r>
      <w:r w:rsidRPr="00421C9C">
        <w:rPr>
          <w:rFonts w:ascii="Arial" w:hAnsi="Arial" w:cs="Arial"/>
          <w:sz w:val="20"/>
          <w:szCs w:val="20"/>
        </w:rPr>
        <w:t>competência</w:t>
      </w:r>
      <w:r>
        <w:rPr>
          <w:rFonts w:ascii="Arial" w:hAnsi="Arial" w:cs="Arial"/>
          <w:sz w:val="20"/>
          <w:szCs w:val="20"/>
        </w:rPr>
        <w:t>.</w:t>
      </w:r>
    </w:p>
    <w:p w:rsidR="00694B00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 xml:space="preserve">Parágrafo </w:t>
      </w:r>
      <w:r w:rsidR="00694B00">
        <w:rPr>
          <w:rFonts w:ascii="Arial" w:hAnsi="Arial" w:cs="Arial"/>
          <w:sz w:val="20"/>
          <w:szCs w:val="20"/>
        </w:rPr>
        <w:t>único.</w:t>
      </w:r>
      <w:r w:rsidRPr="00421C9C">
        <w:rPr>
          <w:rFonts w:ascii="Arial" w:hAnsi="Arial" w:cs="Arial"/>
          <w:sz w:val="20"/>
          <w:szCs w:val="20"/>
        </w:rPr>
        <w:t xml:space="preserve"> O ocupante do cargo de Coordenador Municipal da CTIP deverá ter formação especifica na área de eletricista."</w:t>
      </w:r>
    </w:p>
    <w:p w:rsidR="00694B00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4B00">
        <w:rPr>
          <w:rFonts w:ascii="Arial" w:hAnsi="Arial" w:cs="Arial"/>
          <w:b/>
          <w:sz w:val="20"/>
          <w:szCs w:val="20"/>
        </w:rPr>
        <w:t>Art. 2</w:t>
      </w:r>
      <w:r w:rsidR="00694B00" w:rsidRPr="00694B00">
        <w:rPr>
          <w:rFonts w:ascii="Arial" w:hAnsi="Arial" w:cs="Arial"/>
          <w:b/>
          <w:sz w:val="20"/>
          <w:szCs w:val="20"/>
        </w:rPr>
        <w:t>º</w:t>
      </w:r>
      <w:r w:rsidRPr="00421C9C">
        <w:rPr>
          <w:rFonts w:ascii="Arial" w:hAnsi="Arial" w:cs="Arial"/>
          <w:sz w:val="20"/>
          <w:szCs w:val="20"/>
        </w:rPr>
        <w:t xml:space="preserve"> Esta Lei Complementar entra em vigor na data de</w:t>
      </w:r>
      <w:r w:rsidR="00694B00">
        <w:rPr>
          <w:rFonts w:ascii="Arial" w:hAnsi="Arial" w:cs="Arial"/>
          <w:sz w:val="20"/>
          <w:szCs w:val="20"/>
        </w:rPr>
        <w:t xml:space="preserve"> sua </w:t>
      </w:r>
      <w:r w:rsidRPr="00421C9C">
        <w:rPr>
          <w:rFonts w:ascii="Arial" w:hAnsi="Arial" w:cs="Arial"/>
          <w:sz w:val="20"/>
          <w:szCs w:val="20"/>
        </w:rPr>
        <w:t>publicação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B00" w:rsidRPr="00421C9C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>Palácio da Uva Itália, 16 de março de 2016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Default="00F26D12" w:rsidP="000F35C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FE7" w:rsidRDefault="00FD6D85" w:rsidP="000F35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0F35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6D53B3" w:rsidRDefault="006D53B3" w:rsidP="000F35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0F35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0F3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0F35C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0F35C4" w:rsidP="000F35C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</w:t>
      </w:r>
      <w:bookmarkStart w:id="0" w:name="_GoBack"/>
      <w:bookmarkEnd w:id="0"/>
      <w:r w:rsidR="00694B00">
        <w:rPr>
          <w:rFonts w:ascii="Arial" w:hAnsi="Arial" w:cs="Arial"/>
          <w:sz w:val="20"/>
          <w:szCs w:val="20"/>
        </w:rPr>
        <w:t>NIO CARLOS DOS SANTOS FERREIRA</w:t>
      </w:r>
    </w:p>
    <w:p w:rsidR="00565D70" w:rsidRDefault="00565D70" w:rsidP="000F35C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694B00">
        <w:rPr>
          <w:rFonts w:ascii="Arial" w:hAnsi="Arial" w:cs="Arial"/>
          <w:sz w:val="20"/>
          <w:szCs w:val="20"/>
        </w:rPr>
        <w:t>Governo</w:t>
      </w:r>
    </w:p>
    <w:p w:rsidR="00595235" w:rsidRDefault="00595235" w:rsidP="000F35C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0F35C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0F3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0F35C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0F35C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0F35C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CF" w:rsidRDefault="00E009CF" w:rsidP="009243B3">
      <w:pPr>
        <w:spacing w:after="0" w:line="240" w:lineRule="auto"/>
      </w:pPr>
      <w:r>
        <w:separator/>
      </w:r>
    </w:p>
  </w:endnote>
  <w:endnote w:type="continuationSeparator" w:id="0">
    <w:p w:rsidR="00E009CF" w:rsidRDefault="00E009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CF" w:rsidRDefault="00E009CF" w:rsidP="009243B3">
      <w:pPr>
        <w:spacing w:after="0" w:line="240" w:lineRule="auto"/>
      </w:pPr>
      <w:r>
        <w:separator/>
      </w:r>
    </w:p>
  </w:footnote>
  <w:footnote w:type="continuationSeparator" w:id="0">
    <w:p w:rsidR="00E009CF" w:rsidRDefault="00E009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0B4DA4"/>
    <w:multiLevelType w:val="hybridMultilevel"/>
    <w:tmpl w:val="20F4B072"/>
    <w:lvl w:ilvl="0" w:tplc="B590C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14"/>
  </w:num>
  <w:num w:numId="9">
    <w:abstractNumId w:val="1"/>
  </w:num>
  <w:num w:numId="10">
    <w:abstractNumId w:val="16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6"/>
  </w:num>
  <w:num w:numId="16">
    <w:abstractNumId w:val="8"/>
  </w:num>
  <w:num w:numId="17">
    <w:abstractNumId w:val="5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35C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1C9C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4B00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46C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3F4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59A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52CB2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71AC3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9CF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4E32E"/>
  <w15:docId w15:val="{4761D448-388E-405E-82E3-1CC4822A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2019-06-17T14:01:00Z</dcterms:created>
  <dcterms:modified xsi:type="dcterms:W3CDTF">2019-06-28T14:51:00Z</dcterms:modified>
</cp:coreProperties>
</file>