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84049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4049D">
        <w:rPr>
          <w:rFonts w:ascii="Arial" w:hAnsi="Arial" w:cs="Arial"/>
          <w:sz w:val="20"/>
          <w:szCs w:val="20"/>
        </w:rPr>
        <w:t>a Comissão Municipal de Esportes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4049D">
        <w:rPr>
          <w:rFonts w:ascii="Arial" w:hAnsi="Arial" w:cs="Arial"/>
          <w:sz w:val="20"/>
          <w:szCs w:val="20"/>
        </w:rPr>
        <w:t>Fica o Poder Executivo autorizado a criar a Comissão Municipal de Esportes de Ferraz de Vasconcelos</w:t>
      </w:r>
      <w:r w:rsidR="0024352F"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4049D">
        <w:rPr>
          <w:rFonts w:ascii="Arial" w:hAnsi="Arial" w:cs="Arial"/>
          <w:sz w:val="20"/>
          <w:szCs w:val="20"/>
        </w:rPr>
        <w:t>O Executivo baixará as instruções que no caso conferem para esse.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3304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3110C0"/>
    <w:rsid w:val="00323874"/>
    <w:rsid w:val="0035404A"/>
    <w:rsid w:val="003729E4"/>
    <w:rsid w:val="0043092B"/>
    <w:rsid w:val="00503304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2019-04-25T12:19:00Z</dcterms:created>
  <dcterms:modified xsi:type="dcterms:W3CDTF">2019-04-25T12:21:00Z</dcterms:modified>
</cp:coreProperties>
</file>