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3A502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A502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5026">
        <w:rPr>
          <w:rFonts w:ascii="Arial" w:hAnsi="Arial" w:cs="Arial"/>
          <w:sz w:val="20"/>
          <w:szCs w:val="20"/>
        </w:rPr>
        <w:t>autorização para cancelamento da dívida ativa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3A5026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220098">
        <w:rPr>
          <w:rFonts w:ascii="Arial" w:hAnsi="Arial" w:cs="Arial"/>
          <w:b/>
          <w:sz w:val="20"/>
          <w:szCs w:val="20"/>
        </w:rPr>
        <w:t xml:space="preserve"> VICE-PREFEITO </w:t>
      </w:r>
      <w:r w:rsidR="00811A45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 xml:space="preserve">EM EXERCÍCIO, </w:t>
      </w:r>
      <w:r w:rsidR="00811A45">
        <w:rPr>
          <w:rFonts w:ascii="Arial" w:hAnsi="Arial" w:cs="Arial"/>
          <w:b/>
          <w:sz w:val="20"/>
          <w:szCs w:val="20"/>
        </w:rPr>
        <w:t>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3650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DECRETA </w:t>
      </w:r>
      <w:r w:rsidR="00A73342">
        <w:rPr>
          <w:rFonts w:ascii="Arial" w:hAnsi="Arial" w:cs="Arial"/>
          <w:sz w:val="20"/>
          <w:szCs w:val="20"/>
        </w:rPr>
        <w:t>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 w:rsidR="00A73342"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>Fica o Poder Executivo autorizado a dar baixa dos Impostos comprovadamente lançados indevidamente em “Dívida Ativa”, no exercício findo em 31 de dezembro de 1955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>Ficam os contribuintes indevidamente lançados, obrigados a requerer a devida Baixa ao Executivo Municipal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0A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>Serão restituídos ao contribuinte, quando requerido com comprovante, os indevidamente cobrados.</w:t>
      </w:r>
    </w:p>
    <w:p w:rsidR="003650AE" w:rsidRDefault="003650A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0AE" w:rsidRDefault="003650A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0A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Estão isentos do que dispõe artigo 2º os contribuintes que não receberam dentro do prazo legal o aviso da Prefeitura.</w:t>
      </w:r>
    </w:p>
    <w:p w:rsidR="003650AE" w:rsidRDefault="003650A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650A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0A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5026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20098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2019-04-26T18:38:00Z</dcterms:created>
  <dcterms:modified xsi:type="dcterms:W3CDTF">2019-04-26T18:56:00Z</dcterms:modified>
</cp:coreProperties>
</file>