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</w:t>
      </w:r>
      <w:r w:rsidR="00F3555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E673C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241">
        <w:rPr>
          <w:rFonts w:ascii="Arial" w:hAnsi="Arial" w:cs="Arial"/>
          <w:b/>
          <w:sz w:val="20"/>
          <w:szCs w:val="20"/>
        </w:rPr>
        <w:t xml:space="preserve">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F35551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 de terra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 xml:space="preserve">Fica </w:t>
      </w:r>
      <w:r w:rsidR="00F35551">
        <w:rPr>
          <w:rFonts w:ascii="Arial" w:hAnsi="Arial" w:cs="Arial"/>
          <w:sz w:val="20"/>
          <w:szCs w:val="20"/>
        </w:rPr>
        <w:t>considerada de utilidade pública, devendo ser desapropriada amigável ou judicialmente, uma área de terra equivalente a 5.000 (cinco mil) metros quadrados, onde se acha atualmente localizado o cemitério municipal de Ferraz de Vasconcelos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35551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35551">
        <w:rPr>
          <w:rFonts w:ascii="Arial" w:hAnsi="Arial" w:cs="Arial"/>
          <w:sz w:val="20"/>
          <w:szCs w:val="20"/>
        </w:rPr>
        <w:t>As despesas para fazer face ao que dispõe o artigo anterior, serão cobertos com verbas a serem consignadas em orçamentos futuros.</w:t>
      </w:r>
    </w:p>
    <w:p w:rsidR="00CE673C" w:rsidRDefault="00F35551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54FCE" w:rsidRDefault="00F35551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555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área de terra a que faz referência este artigo, destina-se à ampliação do cemitério da sede</w:t>
      </w:r>
      <w:r w:rsidR="00CE673C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CE673C">
        <w:rPr>
          <w:rFonts w:ascii="Arial" w:hAnsi="Arial" w:cs="Arial"/>
          <w:sz w:val="20"/>
          <w:szCs w:val="20"/>
        </w:rPr>
        <w:t>20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B66241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</w:t>
      </w:r>
      <w:r>
        <w:rPr>
          <w:rFonts w:ascii="Arial" w:hAnsi="Arial" w:cs="Arial"/>
          <w:sz w:val="20"/>
          <w:szCs w:val="20"/>
        </w:rPr>
        <w:t xml:space="preserve">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5551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2019-04-26T19:46:00Z</dcterms:created>
  <dcterms:modified xsi:type="dcterms:W3CDTF">2019-04-26T19:52:00Z</dcterms:modified>
</cp:coreProperties>
</file>