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9C7A7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>ca aberto na Contadoria da P</w:t>
      </w:r>
      <w:r w:rsidR="009C7A75">
        <w:rPr>
          <w:rFonts w:ascii="Arial" w:hAnsi="Arial" w:cs="Arial"/>
          <w:sz w:val="20"/>
          <w:szCs w:val="20"/>
        </w:rPr>
        <w:t>refeitura Municipal, um crédito de Cr$ 30.000,00 (trinta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759" w:rsidRDefault="009C7A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crédito acima destina-se a reforço da verba dotada no orçamento vigente</w:t>
      </w:r>
      <w:r w:rsidR="00E11375">
        <w:rPr>
          <w:rFonts w:ascii="Arial" w:hAnsi="Arial" w:cs="Arial"/>
          <w:sz w:val="20"/>
          <w:szCs w:val="20"/>
        </w:rPr>
        <w:t>, abaixo discriminada: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8º 8.20.1 – 8.99.4 – I Despesas Imprevistas Cr$ 30.000,00 (trinta mil cruzeiros).</w:t>
      </w:r>
    </w:p>
    <w:p w:rsidR="009C7A75" w:rsidRDefault="009C7A75" w:rsidP="009C7A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1375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11375">
        <w:rPr>
          <w:rFonts w:ascii="Arial" w:hAnsi="Arial" w:cs="Arial"/>
          <w:sz w:val="20"/>
          <w:szCs w:val="20"/>
        </w:rPr>
        <w:t>O crédito de que trata o artigo 1º, será coberto pelas seguintes anulações parcial e total: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Parcial – 4.30.1 – 8.33.4 Sopa Escolar Cr$ 7.000,00 (sete mil cruzeiros);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– 5.10.1 – 8.38.4 – Contribuição para Receitas Públicas, Manutenção da Sede e Gratificação ao Mestre para lecionar até 2 alunos gratuitamente Cr$ 23.000,00 (vinte e três mil cruzeiros).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144DB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DD88-6483-42B8-8705-2332DFE6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2019-07-24T18:11:00Z</dcterms:created>
  <dcterms:modified xsi:type="dcterms:W3CDTF">2019-07-24T18:20:00Z</dcterms:modified>
</cp:coreProperties>
</file>