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948B7">
        <w:rPr>
          <w:rFonts w:ascii="Arial" w:hAnsi="Arial" w:cs="Arial"/>
          <w:b/>
          <w:sz w:val="20"/>
          <w:szCs w:val="20"/>
        </w:rPr>
        <w:t>5</w:t>
      </w:r>
      <w:r w:rsidR="00EA5738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5158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85C13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A5738">
        <w:rPr>
          <w:rFonts w:ascii="Arial" w:hAnsi="Arial" w:cs="Arial"/>
          <w:sz w:val="20"/>
          <w:szCs w:val="20"/>
        </w:rPr>
        <w:t>transferência de verba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48B7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90EAE">
        <w:rPr>
          <w:rFonts w:ascii="Arial" w:hAnsi="Arial" w:cs="Arial"/>
          <w:sz w:val="20"/>
          <w:szCs w:val="20"/>
        </w:rPr>
        <w:t xml:space="preserve">Fica </w:t>
      </w:r>
      <w:r w:rsidR="00EA5738">
        <w:rPr>
          <w:rFonts w:ascii="Arial" w:hAnsi="Arial" w:cs="Arial"/>
          <w:sz w:val="20"/>
          <w:szCs w:val="20"/>
        </w:rPr>
        <w:t>aberto na Contadoria</w:t>
      </w:r>
      <w:r w:rsidR="009948B7">
        <w:rPr>
          <w:rFonts w:ascii="Arial" w:hAnsi="Arial" w:cs="Arial"/>
          <w:sz w:val="20"/>
          <w:szCs w:val="20"/>
        </w:rPr>
        <w:t xml:space="preserve"> Municipal de </w:t>
      </w:r>
      <w:r w:rsidR="00EA5738">
        <w:rPr>
          <w:rFonts w:ascii="Arial" w:hAnsi="Arial" w:cs="Arial"/>
          <w:sz w:val="20"/>
          <w:szCs w:val="20"/>
        </w:rPr>
        <w:t>Ferraz de Vasconcelos um crédito de Cr$ 31.000,00 (trinta e um mil cruzeiros)</w:t>
      </w:r>
      <w:r w:rsidR="009948B7">
        <w:rPr>
          <w:rFonts w:ascii="Arial" w:hAnsi="Arial" w:cs="Arial"/>
          <w:sz w:val="20"/>
          <w:szCs w:val="20"/>
        </w:rPr>
        <w:t>.</w:t>
      </w:r>
    </w:p>
    <w:p w:rsidR="009948B7" w:rsidRDefault="009948B7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6B48" w:rsidRDefault="009948B7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8B7">
        <w:rPr>
          <w:rFonts w:ascii="Arial" w:hAnsi="Arial" w:cs="Arial"/>
          <w:b/>
          <w:sz w:val="20"/>
          <w:szCs w:val="20"/>
        </w:rPr>
        <w:t>Parágrafo único.</w:t>
      </w:r>
      <w:r w:rsidR="003D3944">
        <w:rPr>
          <w:rFonts w:ascii="Arial" w:hAnsi="Arial" w:cs="Arial"/>
          <w:sz w:val="20"/>
          <w:szCs w:val="20"/>
        </w:rPr>
        <w:t xml:space="preserve"> </w:t>
      </w:r>
      <w:r w:rsidR="00EA5738">
        <w:rPr>
          <w:rFonts w:ascii="Arial" w:hAnsi="Arial" w:cs="Arial"/>
          <w:sz w:val="20"/>
          <w:szCs w:val="20"/>
        </w:rPr>
        <w:t>O crédito acima destina-se a reforçar a verba correspondente a aquisição de imóveis para uso escolar codificada sob nº 4.30.1 – 8.35.2.</w:t>
      </w:r>
    </w:p>
    <w:p w:rsidR="009948B7" w:rsidRDefault="009948B7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0EAE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EA5738">
        <w:rPr>
          <w:rFonts w:ascii="Arial" w:hAnsi="Arial" w:cs="Arial"/>
          <w:sz w:val="20"/>
          <w:szCs w:val="20"/>
        </w:rPr>
        <w:t>O crédito de que trata o artigo acima será coberto com a anulação parcial da verba codificada sob nº 3.40.1 – 8.89.3,</w:t>
      </w:r>
      <w:bookmarkStart w:id="0" w:name="_GoBack"/>
      <w:bookmarkEnd w:id="0"/>
      <w:r w:rsidR="00EA5738">
        <w:rPr>
          <w:rFonts w:ascii="Arial" w:hAnsi="Arial" w:cs="Arial"/>
          <w:sz w:val="20"/>
          <w:szCs w:val="20"/>
        </w:rPr>
        <w:t xml:space="preserve"> parágrafo III item 3 – Aquisição de materiais para construção</w:t>
      </w:r>
      <w:r w:rsidR="00490EAE">
        <w:rPr>
          <w:rFonts w:ascii="Arial" w:hAnsi="Arial" w:cs="Arial"/>
          <w:sz w:val="20"/>
          <w:szCs w:val="20"/>
        </w:rPr>
        <w:t>.</w:t>
      </w:r>
    </w:p>
    <w:p w:rsidR="00490EAE" w:rsidRDefault="00490EAE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90EA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3D3944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1515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585C13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4209"/>
    <w:rsid w:val="007A332D"/>
    <w:rsid w:val="007A6B48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668BF"/>
    <w:rsid w:val="00871A26"/>
    <w:rsid w:val="008A458E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086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FB51-0A68-4D90-9193-45CC62BB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2019-07-24T14:27:00Z</dcterms:created>
  <dcterms:modified xsi:type="dcterms:W3CDTF">2019-07-24T14:32:00Z</dcterms:modified>
</cp:coreProperties>
</file>