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947550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68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47550">
        <w:rPr>
          <w:rFonts w:ascii="Arial" w:hAnsi="Arial" w:cs="Arial"/>
          <w:sz w:val="20"/>
          <w:szCs w:val="20"/>
        </w:rPr>
        <w:t>alteração da Lei nº 380/62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1668EE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PEDRO PAULO PAULINO,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04FF2">
        <w:rPr>
          <w:rFonts w:ascii="Arial" w:hAnsi="Arial" w:cs="Arial"/>
          <w:b/>
          <w:sz w:val="20"/>
          <w:szCs w:val="20"/>
        </w:rPr>
        <w:t>, COMARCA DE MOGI DAS CRUZES, ESTADO DE SÃO PAULO</w:t>
      </w:r>
      <w:r w:rsidR="003E2FE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ME SÃO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668EE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EU SANCIONO E</w:t>
      </w:r>
      <w:r w:rsidR="00104FF2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CD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7550">
        <w:rPr>
          <w:rFonts w:ascii="Arial" w:hAnsi="Arial" w:cs="Arial"/>
          <w:sz w:val="20"/>
          <w:szCs w:val="20"/>
        </w:rPr>
        <w:t>Passa a ter a seguinte redação o artigo 11º da Lei nº 380/62:</w:t>
      </w:r>
    </w:p>
    <w:p w:rsidR="00947550" w:rsidRDefault="00947550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550" w:rsidRDefault="003E209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bookmarkStart w:id="0" w:name="_GoBack"/>
      <w:bookmarkEnd w:id="0"/>
      <w:r w:rsidR="00947550">
        <w:rPr>
          <w:rFonts w:ascii="Arial" w:hAnsi="Arial" w:cs="Arial"/>
          <w:sz w:val="20"/>
          <w:szCs w:val="20"/>
        </w:rPr>
        <w:t>Art. 11. Esta Lei entrará em vigor a partir de 1º de março do corrente ano, revogando as disposições em contrário”.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D155A0">
        <w:rPr>
          <w:rFonts w:ascii="Arial" w:hAnsi="Arial" w:cs="Arial"/>
          <w:b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6D712B">
        <w:rPr>
          <w:rFonts w:ascii="Arial" w:hAnsi="Arial" w:cs="Arial"/>
          <w:sz w:val="20"/>
          <w:szCs w:val="20"/>
        </w:rPr>
        <w:t>na data de sua publicação, revoga</w:t>
      </w:r>
      <w:r w:rsidR="00947550">
        <w:rPr>
          <w:rFonts w:ascii="Arial" w:hAnsi="Arial" w:cs="Arial"/>
          <w:sz w:val="20"/>
          <w:szCs w:val="20"/>
        </w:rPr>
        <w:t>ndo</w:t>
      </w:r>
      <w:r w:rsidR="006D712B">
        <w:rPr>
          <w:rFonts w:ascii="Arial" w:hAnsi="Arial" w:cs="Arial"/>
          <w:sz w:val="20"/>
          <w:szCs w:val="20"/>
        </w:rPr>
        <w:t xml:space="preserve"> </w:t>
      </w:r>
      <w:r w:rsidR="008D6749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D712B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</w:t>
      </w:r>
      <w:r w:rsidR="000800E2">
        <w:rPr>
          <w:rFonts w:ascii="Arial" w:hAnsi="Arial" w:cs="Arial"/>
          <w:sz w:val="20"/>
          <w:szCs w:val="20"/>
        </w:rPr>
        <w:t xml:space="preserve"> </w:t>
      </w:r>
      <w:r w:rsidR="00947550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47550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6D712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</w:t>
      </w:r>
      <w:r w:rsidR="006D712B">
        <w:rPr>
          <w:rFonts w:ascii="Arial" w:hAnsi="Arial" w:cs="Arial"/>
          <w:sz w:val="20"/>
          <w:szCs w:val="20"/>
        </w:rPr>
        <w:t xml:space="preserve"> transcrita e</w:t>
      </w:r>
      <w:r>
        <w:rPr>
          <w:rFonts w:ascii="Arial" w:hAnsi="Arial" w:cs="Arial"/>
          <w:sz w:val="20"/>
          <w:szCs w:val="20"/>
        </w:rPr>
        <w:t xml:space="preserve">m </w:t>
      </w:r>
      <w:r w:rsidR="006D712B">
        <w:rPr>
          <w:rFonts w:ascii="Arial" w:hAnsi="Arial" w:cs="Arial"/>
          <w:sz w:val="20"/>
          <w:szCs w:val="20"/>
        </w:rPr>
        <w:t xml:space="preserve">Livro Próprio na Diretoria do Expediente </w:t>
      </w:r>
      <w:r>
        <w:rPr>
          <w:rFonts w:ascii="Arial" w:hAnsi="Arial" w:cs="Arial"/>
          <w:sz w:val="20"/>
          <w:szCs w:val="20"/>
        </w:rPr>
        <w:t>e publicada, por afixação, na Portaria Municipal</w:t>
      </w:r>
      <w:r w:rsidR="006D712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 data supra.</w:t>
      </w: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6D712B">
        <w:rPr>
          <w:rFonts w:ascii="Arial" w:hAnsi="Arial" w:cs="Arial"/>
          <w:sz w:val="20"/>
          <w:szCs w:val="20"/>
        </w:rPr>
        <w:t>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2098"/>
    <w:rsid w:val="003E2FE5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457B6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C8E0B50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711A-6E9F-48FE-919E-F95B7F9D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2019-08-05T12:31:00Z</dcterms:created>
  <dcterms:modified xsi:type="dcterms:W3CDTF">2019-08-07T20:04:00Z</dcterms:modified>
</cp:coreProperties>
</file>