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8D1E7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F4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E51BD8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51BD8">
        <w:rPr>
          <w:rFonts w:ascii="Arial" w:hAnsi="Arial" w:cs="Arial"/>
          <w:sz w:val="20"/>
          <w:szCs w:val="20"/>
        </w:rPr>
        <w:t xml:space="preserve">Dispõe sobre </w:t>
      </w:r>
      <w:r w:rsidR="008D1E78">
        <w:rPr>
          <w:rFonts w:ascii="Arial" w:hAnsi="Arial" w:cs="Arial"/>
          <w:sz w:val="20"/>
          <w:szCs w:val="20"/>
        </w:rPr>
        <w:t>denominação de Via Pública</w:t>
      </w:r>
      <w:r w:rsidRPr="00E51BD8">
        <w:rPr>
          <w:rFonts w:ascii="Arial" w:hAnsi="Arial" w:cs="Arial"/>
          <w:sz w:val="20"/>
          <w:szCs w:val="20"/>
        </w:rPr>
        <w:t>.</w:t>
      </w:r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51BD8">
        <w:rPr>
          <w:rFonts w:ascii="Arial" w:hAnsi="Arial" w:cs="Arial"/>
          <w:bCs/>
          <w:sz w:val="20"/>
          <w:szCs w:val="20"/>
        </w:rPr>
        <w:t xml:space="preserve">DE FERRAZ DE VASCONCELOS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333C1">
        <w:rPr>
          <w:rFonts w:ascii="Arial" w:hAnsi="Arial" w:cs="Arial"/>
          <w:sz w:val="20"/>
          <w:szCs w:val="20"/>
        </w:rPr>
        <w:t xml:space="preserve">Passa a denominar-se Rua João XXIII, a passagem existente a mais de 10 (dez) anos, entre a Av. Getúlio Vargas e a Rua Antônio </w:t>
      </w:r>
      <w:proofErr w:type="spellStart"/>
      <w:r w:rsidR="007333C1">
        <w:rPr>
          <w:rFonts w:ascii="Arial" w:hAnsi="Arial" w:cs="Arial"/>
          <w:sz w:val="20"/>
          <w:szCs w:val="20"/>
        </w:rPr>
        <w:t>Trevisani</w:t>
      </w:r>
      <w:proofErr w:type="spellEnd"/>
      <w:r w:rsidR="007333C1">
        <w:rPr>
          <w:rFonts w:ascii="Arial" w:hAnsi="Arial" w:cs="Arial"/>
          <w:sz w:val="20"/>
          <w:szCs w:val="20"/>
        </w:rPr>
        <w:t>, medindo 10 metros de largura por 35 de cumprimento</w:t>
      </w:r>
      <w:r w:rsidR="00E51BD8">
        <w:rPr>
          <w:rFonts w:ascii="Arial" w:hAnsi="Arial" w:cs="Arial"/>
          <w:sz w:val="20"/>
          <w:szCs w:val="20"/>
        </w:rPr>
        <w:t xml:space="preserve">. 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333C1">
        <w:rPr>
          <w:rFonts w:ascii="Arial" w:hAnsi="Arial" w:cs="Arial"/>
          <w:bCs/>
          <w:sz w:val="20"/>
          <w:szCs w:val="20"/>
        </w:rPr>
        <w:t>As</w:t>
      </w:r>
      <w:r w:rsidR="00130455">
        <w:rPr>
          <w:rFonts w:ascii="Arial" w:hAnsi="Arial" w:cs="Arial"/>
          <w:bCs/>
          <w:sz w:val="20"/>
          <w:szCs w:val="20"/>
        </w:rPr>
        <w:t xml:space="preserve"> despesas decorrentes </w:t>
      </w:r>
      <w:r w:rsidR="007333C1">
        <w:rPr>
          <w:rFonts w:ascii="Arial" w:hAnsi="Arial" w:cs="Arial"/>
          <w:bCs/>
          <w:sz w:val="20"/>
          <w:szCs w:val="20"/>
        </w:rPr>
        <w:t>com a execução d</w:t>
      </w:r>
      <w:r w:rsidR="00260419">
        <w:rPr>
          <w:rFonts w:ascii="Arial" w:hAnsi="Arial" w:cs="Arial"/>
          <w:bCs/>
          <w:sz w:val="20"/>
          <w:szCs w:val="20"/>
        </w:rPr>
        <w:t xml:space="preserve">a presente Lei, </w:t>
      </w:r>
      <w:r w:rsidR="007333C1">
        <w:rPr>
          <w:rFonts w:ascii="Arial" w:hAnsi="Arial" w:cs="Arial"/>
          <w:bCs/>
          <w:sz w:val="20"/>
          <w:szCs w:val="20"/>
        </w:rPr>
        <w:t>correrá por conta do orçamento vigente</w:t>
      </w:r>
      <w:bookmarkStart w:id="0" w:name="_GoBack"/>
      <w:bookmarkEnd w:id="0"/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A126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7B0F4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33C1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1E78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31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1EFE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02E0-830A-45A1-9734-EE178E53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2019-08-21T14:12:00Z</dcterms:created>
  <dcterms:modified xsi:type="dcterms:W3CDTF">2019-08-21T14:15:00Z</dcterms:modified>
</cp:coreProperties>
</file>