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51</w:t>
      </w:r>
      <w:r w:rsidR="001B1B2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 xml:space="preserve">20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AGOSTO DE </w:t>
      </w:r>
      <w:proofErr w:type="gramStart"/>
      <w:r>
        <w:rPr>
          <w:rFonts w:ascii="Arial" w:hAnsi="Arial" w:cs="Arial"/>
          <w:b/>
          <w:sz w:val="20"/>
          <w:szCs w:val="20"/>
        </w:rPr>
        <w:t>1964</w:t>
      </w:r>
      <w:proofErr w:type="gramEnd"/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um crédito especial no valor de Cr$ </w:t>
      </w:r>
      <w:r w:rsidR="001B1B28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0.000,00</w:t>
      </w:r>
      <w:r w:rsidR="001B1B28">
        <w:rPr>
          <w:rFonts w:ascii="Arial" w:hAnsi="Arial" w:cs="Arial"/>
          <w:sz w:val="20"/>
          <w:szCs w:val="20"/>
        </w:rPr>
        <w:t xml:space="preserve"> (trezentos mil cruzeiros), em cumprimentos aos artigos nº</w:t>
      </w:r>
      <w:r>
        <w:rPr>
          <w:rFonts w:ascii="Arial" w:hAnsi="Arial" w:cs="Arial"/>
          <w:sz w:val="20"/>
          <w:szCs w:val="20"/>
        </w:rPr>
        <w:t>.</w:t>
      </w:r>
      <w:r w:rsidR="001B1B28">
        <w:rPr>
          <w:rFonts w:ascii="Arial" w:hAnsi="Arial" w:cs="Arial"/>
          <w:sz w:val="20"/>
          <w:szCs w:val="20"/>
        </w:rPr>
        <w:t xml:space="preserve"> 158 e 159, item I da Lei nº 202 de 28 de março de 1959 </w:t>
      </w:r>
      <w:proofErr w:type="gramStart"/>
      <w:r w:rsidR="001B1B28">
        <w:rPr>
          <w:rFonts w:ascii="Arial" w:hAnsi="Arial" w:cs="Arial"/>
          <w:sz w:val="20"/>
          <w:szCs w:val="20"/>
        </w:rPr>
        <w:t>E.F.C.P.C.</w:t>
      </w:r>
      <w:proofErr w:type="gramEnd"/>
      <w:r w:rsidR="001B1B28">
        <w:rPr>
          <w:rFonts w:ascii="Arial" w:hAnsi="Arial" w:cs="Arial"/>
          <w:sz w:val="20"/>
          <w:szCs w:val="20"/>
        </w:rPr>
        <w:t>M de Ferraz de Vasconcelos.</w:t>
      </w:r>
    </w:p>
    <w:p w:rsidR="00E23DB7" w:rsidRDefault="00E23DB7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29DA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o Poder Executivo </w:t>
      </w:r>
      <w:r w:rsidR="001B1B28">
        <w:rPr>
          <w:rFonts w:ascii="Arial" w:hAnsi="Arial" w:cs="Arial"/>
          <w:sz w:val="20"/>
          <w:szCs w:val="20"/>
        </w:rPr>
        <w:t xml:space="preserve">Municipal em decorrência dos artigos nº 158 e 159, item I da Lei nº 202 de 28 de março de 1959.  Estatuto os </w:t>
      </w:r>
      <w:proofErr w:type="gramStart"/>
      <w:r w:rsidR="001B1B28">
        <w:rPr>
          <w:rFonts w:ascii="Arial" w:hAnsi="Arial" w:cs="Arial"/>
          <w:sz w:val="20"/>
          <w:szCs w:val="20"/>
        </w:rPr>
        <w:t>E.P.C.P.C.</w:t>
      </w:r>
      <w:proofErr w:type="gramEnd"/>
      <w:r w:rsidR="001B1B28">
        <w:rPr>
          <w:rFonts w:ascii="Arial" w:hAnsi="Arial" w:cs="Arial"/>
          <w:sz w:val="20"/>
          <w:szCs w:val="20"/>
        </w:rPr>
        <w:t>M de Ferraz de Vasconcelos, autorizado a conceder um auxílio até o limite de 50% (cinquenta por cento), das despesas efetuadas em hospital medicamentos e outros</w:t>
      </w:r>
      <w:r w:rsidR="007C29DA">
        <w:rPr>
          <w:rFonts w:ascii="Arial" w:hAnsi="Arial" w:cs="Arial"/>
          <w:sz w:val="20"/>
          <w:szCs w:val="20"/>
        </w:rPr>
        <w:t>.</w:t>
      </w:r>
    </w:p>
    <w:p w:rsidR="007C29DA" w:rsidRDefault="007C29DA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29DA" w:rsidRDefault="007C29DA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29DA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 – Os benefícios de que trata este artigo poderá ser solicitado pelos funcionários interessados através de requerimento devidamente instituídos dos documentos que verdadeiramente comprovem as despesas.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Art. 2º </w:t>
      </w:r>
      <w:r w:rsidR="007C29DA">
        <w:rPr>
          <w:rFonts w:ascii="Arial" w:hAnsi="Arial" w:cs="Arial"/>
          <w:bCs/>
          <w:sz w:val="20"/>
          <w:szCs w:val="20"/>
        </w:rPr>
        <w:t xml:space="preserve">Fica </w:t>
      </w:r>
      <w:r>
        <w:rPr>
          <w:rFonts w:ascii="Arial" w:hAnsi="Arial" w:cs="Arial"/>
          <w:bCs/>
          <w:sz w:val="20"/>
          <w:szCs w:val="20"/>
        </w:rPr>
        <w:t xml:space="preserve">também o Poder Executivo Municipal, autorizado a abrir na Contadoria Municipal, um </w:t>
      </w:r>
      <w:r w:rsidR="0081577A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 xml:space="preserve">rédito </w:t>
      </w:r>
      <w:r w:rsidR="0081577A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special no valor de Cr$ </w:t>
      </w:r>
      <w:r w:rsidR="007C29DA">
        <w:rPr>
          <w:rFonts w:ascii="Arial" w:hAnsi="Arial" w:cs="Arial"/>
          <w:bCs/>
          <w:sz w:val="20"/>
          <w:szCs w:val="20"/>
        </w:rPr>
        <w:t>30</w:t>
      </w:r>
      <w:r>
        <w:rPr>
          <w:rFonts w:ascii="Arial" w:hAnsi="Arial" w:cs="Arial"/>
          <w:bCs/>
          <w:sz w:val="20"/>
          <w:szCs w:val="20"/>
        </w:rPr>
        <w:t>0.000,00 (</w:t>
      </w:r>
      <w:r w:rsidR="007C29DA">
        <w:rPr>
          <w:rFonts w:ascii="Arial" w:hAnsi="Arial" w:cs="Arial"/>
          <w:bCs/>
          <w:sz w:val="20"/>
          <w:szCs w:val="20"/>
        </w:rPr>
        <w:t>trezentos mil</w:t>
      </w:r>
      <w:r>
        <w:rPr>
          <w:rFonts w:ascii="Arial" w:hAnsi="Arial" w:cs="Arial"/>
          <w:bCs/>
          <w:sz w:val="20"/>
          <w:szCs w:val="20"/>
        </w:rPr>
        <w:t xml:space="preserve"> cruzeiros), destinados a</w:t>
      </w:r>
      <w:r w:rsidR="007C29DA">
        <w:rPr>
          <w:rFonts w:ascii="Arial" w:hAnsi="Arial" w:cs="Arial"/>
          <w:bCs/>
          <w:sz w:val="20"/>
          <w:szCs w:val="20"/>
        </w:rPr>
        <w:t xml:space="preserve"> concessão de auxílio de que trata esta Lei.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D05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O valor do presente </w:t>
      </w:r>
      <w:r w:rsidR="007C29DA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 xml:space="preserve">rédito </w:t>
      </w:r>
      <w:r w:rsidR="007C29DA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special,</w:t>
      </w:r>
      <w:r w:rsidR="007C29DA">
        <w:rPr>
          <w:rFonts w:ascii="Arial" w:hAnsi="Arial" w:cs="Arial"/>
          <w:bCs/>
          <w:sz w:val="20"/>
          <w:szCs w:val="20"/>
        </w:rPr>
        <w:t xml:space="preserve"> será coberto com recursos provenientes d</w:t>
      </w:r>
      <w:r>
        <w:rPr>
          <w:rFonts w:ascii="Arial" w:hAnsi="Arial" w:cs="Arial"/>
          <w:bCs/>
          <w:sz w:val="20"/>
          <w:szCs w:val="20"/>
        </w:rPr>
        <w:t>a anulação parcial da seguinte verba do orçam</w:t>
      </w:r>
      <w:r w:rsidR="0081577A">
        <w:rPr>
          <w:rFonts w:ascii="Arial" w:hAnsi="Arial" w:cs="Arial"/>
          <w:bCs/>
          <w:sz w:val="20"/>
          <w:szCs w:val="20"/>
        </w:rPr>
        <w:t xml:space="preserve">ento vigente, abaixo mencionada, devendo nos exercícios seguintes, constar de verbas próprias </w:t>
      </w:r>
      <w:proofErr w:type="gramStart"/>
      <w:r w:rsidR="0081577A">
        <w:rPr>
          <w:rFonts w:ascii="Arial" w:hAnsi="Arial" w:cs="Arial"/>
          <w:bCs/>
          <w:sz w:val="20"/>
          <w:szCs w:val="20"/>
        </w:rPr>
        <w:t>do orçamentos</w:t>
      </w:r>
      <w:proofErr w:type="gramEnd"/>
      <w:r w:rsidR="0081577A">
        <w:rPr>
          <w:rFonts w:ascii="Arial" w:hAnsi="Arial" w:cs="Arial"/>
          <w:bCs/>
          <w:sz w:val="20"/>
          <w:szCs w:val="20"/>
        </w:rPr>
        <w:t>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4734"/>
        <w:gridCol w:w="1307"/>
      </w:tblGrid>
      <w:tr w:rsidR="0081577A" w:rsidTr="00E2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E23DB7" w:rsidRDefault="00E23DB7" w:rsidP="00E23D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1577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81577A" w:rsidP="00815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815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81577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º -</w:t>
            </w:r>
            <w:r w:rsidR="0081577A">
              <w:rPr>
                <w:rFonts w:ascii="Arial" w:hAnsi="Arial" w:cs="Arial"/>
                <w:sz w:val="20"/>
                <w:szCs w:val="20"/>
              </w:rPr>
              <w:t xml:space="preserve"> SERVIÇOS PÚBLICOS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7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81577A" w:rsidP="00815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81577A" w:rsidP="00815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7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81577A" w:rsidP="00815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7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81577A" w:rsidP="00815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23D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E23DB7">
              <w:rPr>
                <w:rFonts w:ascii="Arial" w:hAnsi="Arial" w:cs="Arial"/>
                <w:sz w:val="20"/>
                <w:szCs w:val="20"/>
              </w:rPr>
              <w:t>.1 – 8.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23DB7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7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8157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81577A">
              <w:rPr>
                <w:rFonts w:ascii="Arial" w:hAnsi="Arial" w:cs="Arial"/>
                <w:sz w:val="20"/>
                <w:szCs w:val="20"/>
              </w:rPr>
              <w:t>P/ Manutenção de Rede de 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81577A" w:rsidP="008157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23DB7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81577A" w:rsidTr="00E23DB7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E23DB7" w:rsidP="00E23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23DB7" w:rsidRDefault="0081577A" w:rsidP="008157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bookmarkStart w:id="0" w:name="_GoBack"/>
            <w:bookmarkEnd w:id="0"/>
            <w:r w:rsidR="00E23DB7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20 de agosto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p w:rsidR="009243B3" w:rsidRPr="00E23DB7" w:rsidRDefault="009243B3" w:rsidP="00E23DB7"/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DA" w:rsidRDefault="007C29DA" w:rsidP="009243B3">
      <w:pPr>
        <w:spacing w:after="0" w:line="240" w:lineRule="auto"/>
      </w:pPr>
      <w:r>
        <w:separator/>
      </w:r>
    </w:p>
  </w:endnote>
  <w:endnote w:type="continuationSeparator" w:id="0">
    <w:p w:rsidR="007C29DA" w:rsidRDefault="007C29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DA" w:rsidRDefault="007C29DA" w:rsidP="009243B3">
      <w:pPr>
        <w:spacing w:after="0" w:line="240" w:lineRule="auto"/>
      </w:pPr>
      <w:r>
        <w:separator/>
      </w:r>
    </w:p>
  </w:footnote>
  <w:footnote w:type="continuationSeparator" w:id="0">
    <w:p w:rsidR="007C29DA" w:rsidRDefault="007C29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DA" w:rsidRDefault="007C29D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A5AE4"/>
    <w:rsid w:val="001B1B28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99A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29DA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577A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3476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AFBC-7196-48B6-A568-A96A085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2019-08-16T13:25:00Z</dcterms:created>
  <dcterms:modified xsi:type="dcterms:W3CDTF">2019-08-16T13:50:00Z</dcterms:modified>
</cp:coreProperties>
</file>