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20F60">
        <w:rPr>
          <w:rFonts w:ascii="Arial" w:hAnsi="Arial" w:cs="Arial"/>
          <w:b/>
          <w:sz w:val="20"/>
          <w:szCs w:val="20"/>
        </w:rPr>
        <w:t>538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1</w:t>
      </w:r>
      <w:r w:rsidR="0070618F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D5CE5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675E4">
        <w:rPr>
          <w:rFonts w:ascii="Arial" w:hAnsi="Arial" w:cs="Arial"/>
          <w:sz w:val="20"/>
          <w:szCs w:val="20"/>
        </w:rPr>
        <w:t>pagamento do Imposto “</w:t>
      </w:r>
      <w:proofErr w:type="spellStart"/>
      <w:r w:rsidR="009675E4">
        <w:rPr>
          <w:rFonts w:ascii="Arial" w:hAnsi="Arial" w:cs="Arial"/>
          <w:sz w:val="20"/>
          <w:szCs w:val="20"/>
        </w:rPr>
        <w:t>Inter-Vivos</w:t>
      </w:r>
      <w:proofErr w:type="spellEnd"/>
      <w:r w:rsidR="009675E4">
        <w:rPr>
          <w:rFonts w:ascii="Arial" w:hAnsi="Arial" w:cs="Arial"/>
          <w:sz w:val="20"/>
          <w:szCs w:val="20"/>
        </w:rPr>
        <w:t>” por antecipação e dá outras providências.</w:t>
      </w:r>
    </w:p>
    <w:p w:rsidR="00BE68C4" w:rsidRDefault="00BE6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C7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675E4">
        <w:rPr>
          <w:rFonts w:ascii="Arial" w:hAnsi="Arial" w:cs="Arial"/>
          <w:sz w:val="20"/>
          <w:szCs w:val="20"/>
        </w:rPr>
        <w:t xml:space="preserve">É facultado ao compromissário comprador bem como ao primeiro </w:t>
      </w:r>
      <w:proofErr w:type="spellStart"/>
      <w:r w:rsidR="009675E4">
        <w:rPr>
          <w:rFonts w:ascii="Arial" w:hAnsi="Arial" w:cs="Arial"/>
          <w:sz w:val="20"/>
          <w:szCs w:val="20"/>
        </w:rPr>
        <w:t>ceccionario</w:t>
      </w:r>
      <w:proofErr w:type="spellEnd"/>
      <w:r w:rsidR="009675E4">
        <w:rPr>
          <w:rFonts w:ascii="Arial" w:hAnsi="Arial" w:cs="Arial"/>
          <w:sz w:val="20"/>
          <w:szCs w:val="20"/>
        </w:rPr>
        <w:t>, que não esteja vencido o compromisso recolher por antecipação e pelo valor do imóvel na data do contrato, o imposto sobre transmissão, desde que o faça dentro de 30 (trina) dias, a contar da data desta lei.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9675E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675E4">
        <w:rPr>
          <w:rFonts w:ascii="Arial" w:hAnsi="Arial" w:cs="Arial"/>
          <w:sz w:val="20"/>
          <w:szCs w:val="20"/>
        </w:rPr>
        <w:t xml:space="preserve"> de Ferraz de Vasconcelos, em 1</w:t>
      </w:r>
      <w:r w:rsidR="0070618F">
        <w:rPr>
          <w:rFonts w:ascii="Arial" w:hAnsi="Arial" w:cs="Arial"/>
          <w:sz w:val="20"/>
          <w:szCs w:val="20"/>
        </w:rPr>
        <w:t>5</w:t>
      </w:r>
      <w:r w:rsidR="009675E4">
        <w:rPr>
          <w:rFonts w:ascii="Arial" w:hAnsi="Arial" w:cs="Arial"/>
          <w:sz w:val="20"/>
          <w:szCs w:val="20"/>
        </w:rPr>
        <w:t xml:space="preserve"> de março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B09B9" w:rsidRDefault="000B09B9" w:rsidP="000B09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09B9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2019-07-19T19:47:00Z</dcterms:created>
  <dcterms:modified xsi:type="dcterms:W3CDTF">2019-07-23T20:02:00Z</dcterms:modified>
</cp:coreProperties>
</file>