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14DC">
        <w:rPr>
          <w:rFonts w:ascii="Arial" w:hAnsi="Arial" w:cs="Arial"/>
          <w:b/>
          <w:sz w:val="20"/>
          <w:szCs w:val="20"/>
        </w:rPr>
        <w:t>559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14DC"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9514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taxa de assistência social e da outras providências.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887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514DC">
        <w:rPr>
          <w:rFonts w:ascii="Arial" w:hAnsi="Arial" w:cs="Arial"/>
          <w:sz w:val="20"/>
          <w:szCs w:val="20"/>
        </w:rPr>
        <w:t>Fica criada a taxa de assistência social do Município de Ferraz de Vasconcelos.</w:t>
      </w:r>
    </w:p>
    <w:p w:rsidR="009514DC" w:rsidRDefault="005A7ED2" w:rsidP="009514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D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14DC">
        <w:rPr>
          <w:rFonts w:ascii="Arial" w:hAnsi="Arial" w:cs="Arial"/>
          <w:sz w:val="20"/>
          <w:szCs w:val="20"/>
        </w:rPr>
        <w:t>Será cobrado do contribuinte de imposto Municipais a taxa de 5% (cinco por cento), sobre o total dos impostos pagos anualmente.</w:t>
      </w:r>
    </w:p>
    <w:p w:rsidR="005A7ED2" w:rsidRPr="009817D8" w:rsidRDefault="009514DC" w:rsidP="009514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0C83" w:rsidRDefault="00DE492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</w:t>
      </w:r>
      <w:r w:rsidR="009514DC">
        <w:rPr>
          <w:rFonts w:ascii="Arial" w:hAnsi="Arial" w:cs="Arial"/>
          <w:sz w:val="20"/>
          <w:szCs w:val="20"/>
        </w:rPr>
        <w:t>A vigência desta Lei terá início no exercício de 1.966, que será constada em Lei Orçamentaria para o mesmo ano.</w:t>
      </w:r>
    </w:p>
    <w:p w:rsidR="009514DC" w:rsidRDefault="009514DC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4DC" w:rsidRDefault="009514DC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4D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de Vasconcelos, em 20</w:t>
      </w:r>
      <w:r w:rsidR="0050361D">
        <w:rPr>
          <w:rFonts w:ascii="Arial" w:hAnsi="Arial" w:cs="Arial"/>
          <w:sz w:val="20"/>
          <w:szCs w:val="20"/>
        </w:rPr>
        <w:t xml:space="preserve">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2019-07-23T20:32:00Z</dcterms:created>
  <dcterms:modified xsi:type="dcterms:W3CDTF">2019-07-23T20:37:00Z</dcterms:modified>
</cp:coreProperties>
</file>