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5454D">
        <w:rPr>
          <w:rFonts w:ascii="Arial" w:hAnsi="Arial" w:cs="Arial"/>
          <w:b/>
          <w:sz w:val="20"/>
          <w:szCs w:val="20"/>
        </w:rPr>
        <w:t>750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369">
        <w:rPr>
          <w:rFonts w:ascii="Arial" w:hAnsi="Arial" w:cs="Arial"/>
          <w:b/>
          <w:sz w:val="20"/>
          <w:szCs w:val="20"/>
        </w:rPr>
        <w:t>23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5454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mais um cargo no quadro de funcionários da Prefeitura Municipal, e altera os valores de referências constantes das Tabelas I, II e III, anexa à Lei nº 711/69 e dá outras providências</w:t>
      </w:r>
      <w:r w:rsidR="000660E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2C3144">
        <w:rPr>
          <w:rFonts w:ascii="Arial" w:hAnsi="Arial" w:cs="Arial"/>
          <w:sz w:val="20"/>
          <w:szCs w:val="20"/>
        </w:rPr>
        <w:t>SANCIONA</w:t>
      </w:r>
      <w:r w:rsidR="00E17F2E">
        <w:rPr>
          <w:rFonts w:ascii="Arial" w:hAnsi="Arial" w:cs="Arial"/>
          <w:sz w:val="20"/>
          <w:szCs w:val="20"/>
        </w:rPr>
        <w:t xml:space="preserve"> E PROMULGA</w:t>
      </w:r>
      <w:r w:rsidR="002C3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398C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3144">
        <w:rPr>
          <w:rFonts w:ascii="Arial" w:hAnsi="Arial" w:cs="Arial"/>
          <w:sz w:val="20"/>
          <w:szCs w:val="20"/>
        </w:rPr>
        <w:t xml:space="preserve">Fica </w:t>
      </w:r>
      <w:r w:rsidR="00E5454D">
        <w:rPr>
          <w:rFonts w:ascii="Arial" w:hAnsi="Arial" w:cs="Arial"/>
          <w:sz w:val="20"/>
          <w:szCs w:val="20"/>
        </w:rPr>
        <w:t>criado no quadro de funcionários da Prefeitura Municipal, Tabela II, mais um cargo de auxiliar de contabilidade, referência 11, provimento por concurso</w:t>
      </w:r>
      <w:r w:rsidR="000660E3">
        <w:rPr>
          <w:rFonts w:ascii="Arial" w:hAnsi="Arial" w:cs="Arial"/>
          <w:sz w:val="20"/>
          <w:szCs w:val="20"/>
        </w:rPr>
        <w:t>.</w:t>
      </w:r>
    </w:p>
    <w:p w:rsidR="006B4E0B" w:rsidRDefault="006B4E0B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5454D">
        <w:rPr>
          <w:rFonts w:ascii="Arial" w:hAnsi="Arial" w:cs="Arial"/>
          <w:sz w:val="20"/>
          <w:szCs w:val="20"/>
        </w:rPr>
        <w:t>Onde se lê na Tabela I referências 11, leia-se referências 12</w:t>
      </w:r>
      <w:r w:rsidR="000660E3">
        <w:rPr>
          <w:rFonts w:ascii="Arial" w:hAnsi="Arial" w:cs="Arial"/>
          <w:sz w:val="20"/>
          <w:szCs w:val="20"/>
        </w:rPr>
        <w:t>.</w:t>
      </w:r>
    </w:p>
    <w:p w:rsidR="00752369" w:rsidRDefault="00752369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0E3" w:rsidRDefault="00762BDC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5454D">
        <w:rPr>
          <w:rFonts w:ascii="Arial" w:hAnsi="Arial" w:cs="Arial"/>
          <w:sz w:val="20"/>
          <w:szCs w:val="20"/>
        </w:rPr>
        <w:t>Onde se lê na Tabela II referências 10, leia-se referências 11</w:t>
      </w:r>
      <w:r w:rsidR="000660E3">
        <w:rPr>
          <w:rFonts w:ascii="Arial" w:hAnsi="Arial" w:cs="Arial"/>
          <w:sz w:val="20"/>
          <w:szCs w:val="20"/>
        </w:rPr>
        <w:t>.</w:t>
      </w:r>
    </w:p>
    <w:p w:rsidR="000660E3" w:rsidRDefault="000660E3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Default="000660E3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60E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5454D">
        <w:rPr>
          <w:rFonts w:ascii="Arial" w:hAnsi="Arial" w:cs="Arial"/>
          <w:sz w:val="20"/>
          <w:szCs w:val="20"/>
        </w:rPr>
        <w:t xml:space="preserve">O cargo de operador de Máquina de Contabilidade, constante na Tabela II, onde se </w:t>
      </w:r>
      <w:proofErr w:type="gramStart"/>
      <w:r w:rsidR="00E5454D">
        <w:rPr>
          <w:rFonts w:ascii="Arial" w:hAnsi="Arial" w:cs="Arial"/>
          <w:sz w:val="20"/>
          <w:szCs w:val="20"/>
        </w:rPr>
        <w:t>lê,</w:t>
      </w:r>
      <w:proofErr w:type="gramEnd"/>
      <w:r w:rsidR="00E5454D">
        <w:rPr>
          <w:rFonts w:ascii="Arial" w:hAnsi="Arial" w:cs="Arial"/>
          <w:sz w:val="20"/>
          <w:szCs w:val="20"/>
        </w:rPr>
        <w:t xml:space="preserve"> Diploma de Técnico em Contabilidade, devidamente registrado na forma da Legislação em vigor, provimento por concurso, leia-se somente, provimento por concurso</w:t>
      </w:r>
      <w:r>
        <w:rPr>
          <w:rFonts w:ascii="Arial" w:hAnsi="Arial" w:cs="Arial"/>
          <w:sz w:val="20"/>
          <w:szCs w:val="20"/>
        </w:rPr>
        <w:t>.</w:t>
      </w:r>
    </w:p>
    <w:p w:rsidR="00E5454D" w:rsidRDefault="00E5454D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454D" w:rsidRDefault="00E5454D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Onde se lê na Tabela III referências 10, leia-se referências 11.</w:t>
      </w:r>
    </w:p>
    <w:p w:rsidR="00E5454D" w:rsidRDefault="00E5454D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454D" w:rsidRDefault="00E5454D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escala de referências de vencimentos de que trata o Artigo 14º da </w:t>
      </w:r>
      <w:proofErr w:type="gramStart"/>
      <w:r>
        <w:rPr>
          <w:rFonts w:ascii="Arial" w:hAnsi="Arial" w:cs="Arial"/>
          <w:sz w:val="20"/>
          <w:szCs w:val="20"/>
        </w:rPr>
        <w:t>supra citada</w:t>
      </w:r>
      <w:proofErr w:type="gramEnd"/>
      <w:r>
        <w:rPr>
          <w:rFonts w:ascii="Arial" w:hAnsi="Arial" w:cs="Arial"/>
          <w:sz w:val="20"/>
          <w:szCs w:val="20"/>
        </w:rPr>
        <w:t xml:space="preserve"> Lei, passa a ser obedecida com os seguintes valores mensais:</w:t>
      </w:r>
    </w:p>
    <w:p w:rsidR="00E5454D" w:rsidRDefault="00E5454D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419"/>
      </w:tblGrid>
      <w:tr w:rsidR="00E5454D" w:rsidTr="00E54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5454D" w:rsidRPr="00E5454D" w:rsidRDefault="00E5454D" w:rsidP="00E54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5454D" w:rsidRPr="00E5454D" w:rsidRDefault="00E5454D" w:rsidP="00E54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Valores mensais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</w:t>
            </w:r>
          </w:p>
        </w:tc>
      </w:tr>
      <w:tr w:rsidR="00E5454D" w:rsidTr="00E5454D">
        <w:trPr>
          <w:jc w:val="center"/>
        </w:trPr>
        <w:tc>
          <w:tcPr>
            <w:tcW w:w="0" w:type="auto"/>
          </w:tcPr>
          <w:p w:rsidR="00E5454D" w:rsidRDefault="00E5454D" w:rsidP="00465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E5454D" w:rsidRDefault="00E5454D" w:rsidP="00E545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960,00</w:t>
            </w:r>
          </w:p>
        </w:tc>
      </w:tr>
    </w:tbl>
    <w:p w:rsidR="00E5454D" w:rsidRDefault="00E5454D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454D" w:rsidRDefault="00E5454D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>
        <w:rPr>
          <w:rFonts w:ascii="Arial" w:hAnsi="Arial" w:cs="Arial"/>
          <w:sz w:val="20"/>
          <w:szCs w:val="20"/>
        </w:rPr>
        <w:t xml:space="preserve">As despesas com a execução da presente Lei, será atendida mediante </w:t>
      </w:r>
      <w:proofErr w:type="gramStart"/>
      <w:r>
        <w:rPr>
          <w:rFonts w:ascii="Arial" w:hAnsi="Arial" w:cs="Arial"/>
          <w:sz w:val="20"/>
          <w:szCs w:val="20"/>
        </w:rPr>
        <w:t>aplicação dos recursos consignado na dotação especialmente destinada ao reajustamento de vencimentos, e salários, prevista no orçamento do exercício 1970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E5454D" w:rsidRDefault="00E5454D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454D" w:rsidRDefault="003816CB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8º</w:t>
      </w:r>
      <w:r>
        <w:rPr>
          <w:rFonts w:ascii="Arial" w:hAnsi="Arial" w:cs="Arial"/>
          <w:sz w:val="20"/>
          <w:szCs w:val="20"/>
        </w:rPr>
        <w:t xml:space="preserve"> Esta Lei entrará em vigor a partir de 1º de março de 1970.</w:t>
      </w:r>
    </w:p>
    <w:p w:rsidR="003816CB" w:rsidRDefault="003816CB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16CB" w:rsidRPr="003816CB" w:rsidRDefault="003816CB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Revogam-se as 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isposições em contrário.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52369"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4D" w:rsidRDefault="00E5454D" w:rsidP="009243B3">
      <w:pPr>
        <w:spacing w:after="0" w:line="240" w:lineRule="auto"/>
      </w:pPr>
      <w:r>
        <w:separator/>
      </w:r>
    </w:p>
  </w:endnote>
  <w:endnote w:type="continuationSeparator" w:id="0">
    <w:p w:rsidR="00E5454D" w:rsidRDefault="00E545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4D" w:rsidRDefault="00E5454D" w:rsidP="009243B3">
      <w:pPr>
        <w:spacing w:after="0" w:line="240" w:lineRule="auto"/>
      </w:pPr>
      <w:r>
        <w:separator/>
      </w:r>
    </w:p>
  </w:footnote>
  <w:footnote w:type="continuationSeparator" w:id="0">
    <w:p w:rsidR="00E5454D" w:rsidRDefault="00E545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D" w:rsidRDefault="00E5454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660E3"/>
    <w:rsid w:val="00091B92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2221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075D"/>
    <w:rsid w:val="002C3144"/>
    <w:rsid w:val="002C445F"/>
    <w:rsid w:val="003120A0"/>
    <w:rsid w:val="00332227"/>
    <w:rsid w:val="00341B83"/>
    <w:rsid w:val="0035404A"/>
    <w:rsid w:val="003577FE"/>
    <w:rsid w:val="00370AEF"/>
    <w:rsid w:val="00376D2A"/>
    <w:rsid w:val="003816CB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4E0B"/>
    <w:rsid w:val="006B5C90"/>
    <w:rsid w:val="0071578F"/>
    <w:rsid w:val="00752369"/>
    <w:rsid w:val="0075398C"/>
    <w:rsid w:val="00762BDC"/>
    <w:rsid w:val="007664A3"/>
    <w:rsid w:val="00785164"/>
    <w:rsid w:val="007A332D"/>
    <w:rsid w:val="007B3576"/>
    <w:rsid w:val="007D386D"/>
    <w:rsid w:val="007D45F4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8F5B88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17F2E"/>
    <w:rsid w:val="00E20257"/>
    <w:rsid w:val="00E279E9"/>
    <w:rsid w:val="00E5454D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2019-04-10T16:54:00Z</dcterms:created>
  <dcterms:modified xsi:type="dcterms:W3CDTF">2019-04-10T17:06:00Z</dcterms:modified>
</cp:coreProperties>
</file>