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A64F9">
        <w:rPr>
          <w:rFonts w:ascii="Arial" w:hAnsi="Arial" w:cs="Arial"/>
          <w:b/>
          <w:sz w:val="20"/>
          <w:szCs w:val="20"/>
        </w:rPr>
        <w:t>82</w:t>
      </w:r>
      <w:r w:rsidR="00B777AB">
        <w:rPr>
          <w:rFonts w:ascii="Arial" w:hAnsi="Arial" w:cs="Arial"/>
          <w:b/>
          <w:sz w:val="20"/>
          <w:szCs w:val="20"/>
        </w:rPr>
        <w:t>2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777AB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81102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777AB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777AB">
        <w:rPr>
          <w:rFonts w:ascii="Arial" w:hAnsi="Arial" w:cs="Arial"/>
          <w:sz w:val="20"/>
          <w:szCs w:val="20"/>
        </w:rPr>
        <w:t>Dá nova r</w:t>
      </w:r>
      <w:r>
        <w:rPr>
          <w:rFonts w:ascii="Arial" w:hAnsi="Arial" w:cs="Arial"/>
          <w:sz w:val="20"/>
          <w:szCs w:val="20"/>
        </w:rPr>
        <w:t>eda</w:t>
      </w:r>
      <w:r w:rsidR="00365E72">
        <w:rPr>
          <w:rFonts w:ascii="Arial" w:hAnsi="Arial" w:cs="Arial"/>
          <w:sz w:val="20"/>
          <w:szCs w:val="20"/>
        </w:rPr>
        <w:t>ção ao artigo 275, da Lei nº 738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/69 (CTM) e dá outras providê</w:t>
      </w:r>
      <w:r w:rsidRPr="00B777AB">
        <w:rPr>
          <w:rFonts w:ascii="Arial" w:hAnsi="Arial" w:cs="Arial"/>
          <w:sz w:val="20"/>
          <w:szCs w:val="20"/>
        </w:rPr>
        <w:t>ncias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E8400E">
        <w:rPr>
          <w:rFonts w:ascii="Arial" w:hAnsi="Arial" w:cs="Arial"/>
          <w:b/>
          <w:sz w:val="20"/>
          <w:szCs w:val="20"/>
        </w:rPr>
        <w:t>NO USO D</w:t>
      </w:r>
      <w:r w:rsidR="003002A0">
        <w:rPr>
          <w:rFonts w:ascii="Arial" w:hAnsi="Arial" w:cs="Arial"/>
          <w:b/>
          <w:sz w:val="20"/>
          <w:szCs w:val="20"/>
        </w:rPr>
        <w:t xml:space="preserve">AS </w:t>
      </w:r>
      <w:r w:rsidR="00B777AB">
        <w:rPr>
          <w:rFonts w:ascii="Arial" w:hAnsi="Arial" w:cs="Arial"/>
          <w:b/>
          <w:sz w:val="20"/>
          <w:szCs w:val="20"/>
        </w:rPr>
        <w:t xml:space="preserve">SUAS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5A64F9">
        <w:rPr>
          <w:rFonts w:ascii="Arial" w:hAnsi="Arial" w:cs="Arial"/>
          <w:b/>
          <w:sz w:val="20"/>
          <w:szCs w:val="20"/>
        </w:rPr>
        <w:t>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E8400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5A64F9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</w:t>
      </w:r>
      <w:r w:rsidR="00B777AB">
        <w:rPr>
          <w:rFonts w:ascii="Arial" w:hAnsi="Arial" w:cs="Arial"/>
          <w:sz w:val="20"/>
          <w:szCs w:val="20"/>
        </w:rPr>
        <w:t xml:space="preserve">SANCIONA E </w:t>
      </w:r>
      <w:r>
        <w:rPr>
          <w:rFonts w:ascii="Arial" w:hAnsi="Arial" w:cs="Arial"/>
          <w:sz w:val="20"/>
          <w:szCs w:val="20"/>
        </w:rPr>
        <w:t>PROMULGA A SEGUINTE LEI: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77AB" w:rsidRDefault="00127A68" w:rsidP="00B777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B777AB">
        <w:rPr>
          <w:rFonts w:ascii="Arial" w:hAnsi="Arial" w:cs="Arial"/>
          <w:sz w:val="20"/>
          <w:szCs w:val="20"/>
        </w:rPr>
        <w:t>O artigo 275 da Lei nº</w:t>
      </w:r>
      <w:r w:rsidR="00D02885">
        <w:rPr>
          <w:rFonts w:ascii="Arial" w:hAnsi="Arial" w:cs="Arial"/>
          <w:sz w:val="20"/>
          <w:szCs w:val="20"/>
        </w:rPr>
        <w:t xml:space="preserve"> 738/6</w:t>
      </w:r>
      <w:r w:rsidR="00B777AB" w:rsidRPr="00B777AB">
        <w:rPr>
          <w:rFonts w:ascii="Arial" w:hAnsi="Arial" w:cs="Arial"/>
          <w:sz w:val="20"/>
          <w:szCs w:val="20"/>
        </w:rPr>
        <w:t>9 (</w:t>
      </w:r>
      <w:r w:rsidR="00B777AB">
        <w:rPr>
          <w:rFonts w:ascii="Arial" w:hAnsi="Arial" w:cs="Arial"/>
          <w:sz w:val="20"/>
          <w:szCs w:val="20"/>
        </w:rPr>
        <w:t>CTM</w:t>
      </w:r>
      <w:r w:rsidR="00B777AB" w:rsidRPr="00B777AB">
        <w:rPr>
          <w:rFonts w:ascii="Arial" w:hAnsi="Arial" w:cs="Arial"/>
          <w:sz w:val="20"/>
          <w:szCs w:val="20"/>
        </w:rPr>
        <w:t xml:space="preserve">), passa a ter a seguinte redação: </w:t>
      </w:r>
    </w:p>
    <w:p w:rsidR="00B777AB" w:rsidRDefault="00B777AB" w:rsidP="00B777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77AB" w:rsidRDefault="00B777AB" w:rsidP="00B777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77AB">
        <w:rPr>
          <w:rFonts w:ascii="Arial" w:hAnsi="Arial" w:cs="Arial"/>
          <w:sz w:val="20"/>
          <w:szCs w:val="20"/>
        </w:rPr>
        <w:t xml:space="preserve">"A aplicação da pena de multa na hipótese prevista no inciso </w:t>
      </w:r>
      <w:r>
        <w:rPr>
          <w:rFonts w:ascii="Arial" w:hAnsi="Arial" w:cs="Arial"/>
          <w:sz w:val="20"/>
          <w:szCs w:val="20"/>
        </w:rPr>
        <w:t>II do artigo nº</w:t>
      </w:r>
      <w:r w:rsidRPr="00B777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271, não prejudicará a ação penal q</w:t>
      </w:r>
      <w:r w:rsidRPr="00B777AB">
        <w:rPr>
          <w:rFonts w:ascii="Arial" w:hAnsi="Arial" w:cs="Arial"/>
          <w:sz w:val="20"/>
          <w:szCs w:val="20"/>
        </w:rPr>
        <w:t>ue o caso couber."</w:t>
      </w:r>
    </w:p>
    <w:p w:rsidR="00B777AB" w:rsidRPr="00B777AB" w:rsidRDefault="00B777AB" w:rsidP="00B777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77AB" w:rsidRDefault="00B777AB" w:rsidP="00B777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77AB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</w:t>
      </w:r>
      <w:r w:rsidRPr="00B777AB">
        <w:rPr>
          <w:rFonts w:ascii="Arial" w:hAnsi="Arial" w:cs="Arial"/>
          <w:sz w:val="20"/>
          <w:szCs w:val="20"/>
        </w:rPr>
        <w:t xml:space="preserve"> multa prevista neste artigo, por infração aos artigos </w:t>
      </w:r>
      <w:r>
        <w:rPr>
          <w:rFonts w:ascii="Arial" w:hAnsi="Arial" w:cs="Arial"/>
          <w:sz w:val="20"/>
          <w:szCs w:val="20"/>
        </w:rPr>
        <w:t>170 e 177 do Código Tributário M</w:t>
      </w:r>
      <w:r w:rsidRPr="00B777AB">
        <w:rPr>
          <w:rFonts w:ascii="Arial" w:hAnsi="Arial" w:cs="Arial"/>
          <w:sz w:val="20"/>
          <w:szCs w:val="20"/>
        </w:rPr>
        <w:t>unicipal, será de 10% (dez por cento</w:t>
      </w:r>
      <w:r>
        <w:rPr>
          <w:rFonts w:ascii="Arial" w:hAnsi="Arial" w:cs="Arial"/>
          <w:sz w:val="20"/>
          <w:szCs w:val="20"/>
        </w:rPr>
        <w:t>) do salário mínimo vig</w:t>
      </w:r>
      <w:r w:rsidRPr="00B777AB">
        <w:rPr>
          <w:rFonts w:ascii="Arial" w:hAnsi="Arial" w:cs="Arial"/>
          <w:sz w:val="20"/>
          <w:szCs w:val="20"/>
        </w:rPr>
        <w:t>ente na região, a saber</w:t>
      </w:r>
      <w:r>
        <w:rPr>
          <w:rFonts w:ascii="Arial" w:hAnsi="Arial" w:cs="Arial"/>
          <w:sz w:val="20"/>
          <w:szCs w:val="20"/>
        </w:rPr>
        <w:t>:</w:t>
      </w:r>
    </w:p>
    <w:p w:rsidR="00B777AB" w:rsidRDefault="00B777AB" w:rsidP="00B777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77AB" w:rsidRPr="00B777AB" w:rsidRDefault="00B777AB" w:rsidP="00B777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Para </w:t>
      </w:r>
      <w:r w:rsidRPr="00B777AB">
        <w:rPr>
          <w:rFonts w:ascii="Arial" w:hAnsi="Arial" w:cs="Arial"/>
          <w:sz w:val="20"/>
          <w:szCs w:val="20"/>
        </w:rPr>
        <w:t>cada residência (pavimento)</w:t>
      </w:r>
      <w:r>
        <w:rPr>
          <w:rFonts w:ascii="Arial" w:hAnsi="Arial" w:cs="Arial"/>
          <w:sz w:val="20"/>
          <w:szCs w:val="20"/>
        </w:rPr>
        <w:t>; unidade comercial (conjuntos,</w:t>
      </w:r>
      <w:r w:rsidRPr="00B777AB">
        <w:rPr>
          <w:rFonts w:ascii="Arial" w:hAnsi="Arial" w:cs="Arial"/>
          <w:sz w:val="20"/>
          <w:szCs w:val="20"/>
        </w:rPr>
        <w:t xml:space="preserve"> salas, lojas); unidade industrial (cada 80 metros quadrados de construção ou fração</w:t>
      </w:r>
      <w:r>
        <w:rPr>
          <w:rFonts w:ascii="Arial" w:hAnsi="Arial" w:cs="Arial"/>
          <w:sz w:val="20"/>
          <w:szCs w:val="20"/>
        </w:rPr>
        <w:t>)</w:t>
      </w:r>
      <w:r w:rsidRPr="00B777AB">
        <w:rPr>
          <w:rFonts w:ascii="Arial" w:hAnsi="Arial" w:cs="Arial"/>
          <w:sz w:val="20"/>
          <w:szCs w:val="20"/>
        </w:rPr>
        <w:t>.</w:t>
      </w:r>
    </w:p>
    <w:p w:rsidR="00B777AB" w:rsidRDefault="00B777AB" w:rsidP="00B777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77AB" w:rsidRPr="00B777AB" w:rsidRDefault="00B777AB" w:rsidP="00B777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77AB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Em</w:t>
      </w:r>
      <w:r w:rsidRPr="00B777AB">
        <w:rPr>
          <w:rFonts w:ascii="Arial" w:hAnsi="Arial" w:cs="Arial"/>
          <w:sz w:val="20"/>
          <w:szCs w:val="20"/>
        </w:rPr>
        <w:t xml:space="preserve"> se tratando de loteamentos</w:t>
      </w:r>
      <w:r>
        <w:rPr>
          <w:rFonts w:ascii="Arial" w:hAnsi="Arial" w:cs="Arial"/>
          <w:sz w:val="20"/>
          <w:szCs w:val="20"/>
        </w:rPr>
        <w:t xml:space="preserve">, a multa será aplicada para </w:t>
      </w:r>
      <w:r w:rsidRPr="00B777AB">
        <w:rPr>
          <w:rFonts w:ascii="Arial" w:hAnsi="Arial" w:cs="Arial"/>
          <w:sz w:val="20"/>
          <w:szCs w:val="20"/>
        </w:rPr>
        <w:t xml:space="preserve">cada unidade (lote) de 250 metros quadrados, ou fração. </w:t>
      </w:r>
    </w:p>
    <w:p w:rsidR="00B777AB" w:rsidRPr="00B777AB" w:rsidRDefault="00B777AB" w:rsidP="00B777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77AB" w:rsidRPr="00B777AB" w:rsidRDefault="00B777AB" w:rsidP="00B777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77AB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V</w:t>
      </w:r>
      <w:r w:rsidRPr="00B777AB">
        <w:rPr>
          <w:rFonts w:ascii="Arial" w:hAnsi="Arial" w:cs="Arial"/>
          <w:sz w:val="20"/>
          <w:szCs w:val="20"/>
        </w:rPr>
        <w:t>encido o prazo da notificação prevista no artigo 286</w:t>
      </w:r>
      <w:r>
        <w:rPr>
          <w:rFonts w:ascii="Arial" w:hAnsi="Arial" w:cs="Arial"/>
          <w:sz w:val="20"/>
          <w:szCs w:val="20"/>
        </w:rPr>
        <w:t xml:space="preserve"> Có</w:t>
      </w:r>
      <w:r w:rsidRPr="00B777AB">
        <w:rPr>
          <w:rFonts w:ascii="Arial" w:hAnsi="Arial" w:cs="Arial"/>
          <w:sz w:val="20"/>
          <w:szCs w:val="20"/>
        </w:rPr>
        <w:t>digo Tributário Municipal, sem que o proprietário regularize sua situação, será nova</w:t>
      </w:r>
      <w:r>
        <w:rPr>
          <w:rFonts w:ascii="Arial" w:hAnsi="Arial" w:cs="Arial"/>
          <w:sz w:val="20"/>
          <w:szCs w:val="20"/>
        </w:rPr>
        <w:t>mente multado, porém sem aviso</w:t>
      </w:r>
      <w:r w:rsidRPr="00B777AB">
        <w:rPr>
          <w:rFonts w:ascii="Arial" w:hAnsi="Arial" w:cs="Arial"/>
          <w:sz w:val="20"/>
          <w:szCs w:val="20"/>
        </w:rPr>
        <w:t xml:space="preserve"> prévio, e assim sucessivamente a cada novo pra</w:t>
      </w:r>
      <w:r>
        <w:rPr>
          <w:rFonts w:ascii="Arial" w:hAnsi="Arial" w:cs="Arial"/>
          <w:sz w:val="20"/>
          <w:szCs w:val="20"/>
        </w:rPr>
        <w:t>zo expirado,</w:t>
      </w:r>
      <w:r w:rsidRPr="00B777AB">
        <w:rPr>
          <w:rFonts w:ascii="Arial" w:hAnsi="Arial" w:cs="Arial"/>
          <w:sz w:val="20"/>
          <w:szCs w:val="20"/>
        </w:rPr>
        <w:t xml:space="preserve"> exceto quando se tratar de material de construção e entulho depositado irre</w:t>
      </w:r>
      <w:r>
        <w:rPr>
          <w:rFonts w:ascii="Arial" w:hAnsi="Arial" w:cs="Arial"/>
          <w:sz w:val="20"/>
          <w:szCs w:val="20"/>
        </w:rPr>
        <w:t>gularmente na via pública, além do alinhamen</w:t>
      </w:r>
      <w:r w:rsidRPr="00B777AB">
        <w:rPr>
          <w:rFonts w:ascii="Arial" w:hAnsi="Arial" w:cs="Arial"/>
          <w:sz w:val="20"/>
          <w:szCs w:val="20"/>
        </w:rPr>
        <w:t>to do tapume, cujo prazo se</w:t>
      </w:r>
      <w:r>
        <w:rPr>
          <w:rFonts w:ascii="Arial" w:hAnsi="Arial" w:cs="Arial"/>
          <w:sz w:val="20"/>
          <w:szCs w:val="20"/>
        </w:rPr>
        <w:t>rá de 1 (um) dia e multa de 10%</w:t>
      </w:r>
      <w:r w:rsidRPr="00B777AB">
        <w:rPr>
          <w:rFonts w:ascii="Arial" w:hAnsi="Arial" w:cs="Arial"/>
          <w:sz w:val="20"/>
          <w:szCs w:val="20"/>
        </w:rPr>
        <w:t xml:space="preserve"> (dez por cento) do salário mínimo vigente na região.</w:t>
      </w:r>
    </w:p>
    <w:p w:rsidR="00B777AB" w:rsidRDefault="00B777AB" w:rsidP="00B777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77AB" w:rsidRPr="00B777AB" w:rsidRDefault="00B777AB" w:rsidP="00B777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77A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B777AB">
        <w:rPr>
          <w:rFonts w:ascii="Arial" w:hAnsi="Arial" w:cs="Arial"/>
          <w:sz w:val="20"/>
          <w:szCs w:val="20"/>
        </w:rPr>
        <w:t xml:space="preserve">Continua em </w:t>
      </w:r>
      <w:r>
        <w:rPr>
          <w:rFonts w:ascii="Arial" w:hAnsi="Arial" w:cs="Arial"/>
          <w:sz w:val="20"/>
          <w:szCs w:val="20"/>
        </w:rPr>
        <w:t>vigor</w:t>
      </w:r>
      <w:r w:rsidRPr="00B777AB">
        <w:rPr>
          <w:rFonts w:ascii="Arial" w:hAnsi="Arial" w:cs="Arial"/>
          <w:sz w:val="20"/>
          <w:szCs w:val="20"/>
        </w:rPr>
        <w:t xml:space="preserve"> o inciso III do artigo 275 do Código</w:t>
      </w:r>
      <w:r>
        <w:rPr>
          <w:rFonts w:ascii="Arial" w:hAnsi="Arial" w:cs="Arial"/>
          <w:sz w:val="20"/>
          <w:szCs w:val="20"/>
        </w:rPr>
        <w:t xml:space="preserve"> Tribu</w:t>
      </w:r>
      <w:r w:rsidRPr="00B777AB">
        <w:rPr>
          <w:rFonts w:ascii="Arial" w:hAnsi="Arial" w:cs="Arial"/>
          <w:sz w:val="20"/>
          <w:szCs w:val="20"/>
        </w:rPr>
        <w:t xml:space="preserve">tário </w:t>
      </w:r>
      <w:r>
        <w:rPr>
          <w:rFonts w:ascii="Arial" w:hAnsi="Arial" w:cs="Arial"/>
          <w:sz w:val="20"/>
          <w:szCs w:val="20"/>
        </w:rPr>
        <w:t>Municipal</w:t>
      </w:r>
      <w:r w:rsidRPr="00B777AB">
        <w:rPr>
          <w:rFonts w:ascii="Arial" w:hAnsi="Arial" w:cs="Arial"/>
          <w:sz w:val="20"/>
          <w:szCs w:val="20"/>
        </w:rPr>
        <w:t>.</w:t>
      </w:r>
    </w:p>
    <w:p w:rsidR="00B777AB" w:rsidRDefault="00B777AB" w:rsidP="005A64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A64F9" w:rsidRPr="005A64F9" w:rsidRDefault="00EF70A6" w:rsidP="005A6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70A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5A64F9" w:rsidRPr="005A64F9">
        <w:rPr>
          <w:rFonts w:ascii="Arial" w:hAnsi="Arial" w:cs="Arial"/>
          <w:sz w:val="20"/>
          <w:szCs w:val="20"/>
        </w:rPr>
        <w:t xml:space="preserve">Esta Lei entrará em vigor na data </w:t>
      </w:r>
      <w:r w:rsidR="00B777AB">
        <w:rPr>
          <w:rFonts w:ascii="Arial" w:hAnsi="Arial" w:cs="Arial"/>
          <w:sz w:val="20"/>
          <w:szCs w:val="20"/>
        </w:rPr>
        <w:t>de sua publicação</w:t>
      </w:r>
      <w:r w:rsidR="005A64F9" w:rsidRPr="005A64F9">
        <w:rPr>
          <w:rFonts w:ascii="Arial" w:hAnsi="Arial" w:cs="Arial"/>
          <w:sz w:val="20"/>
          <w:szCs w:val="20"/>
        </w:rPr>
        <w:t>, revogadas as disposições em contrário.</w:t>
      </w:r>
    </w:p>
    <w:p w:rsidR="00EF70A6" w:rsidRDefault="00EF70A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70A6" w:rsidRDefault="00EF70A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EF70A6">
        <w:rPr>
          <w:rFonts w:ascii="Arial" w:hAnsi="Arial" w:cs="Arial"/>
          <w:sz w:val="20"/>
          <w:szCs w:val="20"/>
        </w:rPr>
        <w:t>20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4F17FA">
        <w:rPr>
          <w:rFonts w:ascii="Arial" w:hAnsi="Arial" w:cs="Arial"/>
          <w:sz w:val="20"/>
          <w:szCs w:val="20"/>
        </w:rPr>
        <w:t>dezembro</w:t>
      </w:r>
      <w:r w:rsidR="00EA509D">
        <w:rPr>
          <w:rFonts w:ascii="Arial" w:hAnsi="Arial" w:cs="Arial"/>
          <w:sz w:val="20"/>
          <w:szCs w:val="20"/>
        </w:rPr>
        <w:t xml:space="preserve"> de 1972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D6B05"/>
    <w:rsid w:val="000E5424"/>
    <w:rsid w:val="000F425D"/>
    <w:rsid w:val="000F48F1"/>
    <w:rsid w:val="000F5236"/>
    <w:rsid w:val="000F7990"/>
    <w:rsid w:val="00127A6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790B"/>
    <w:rsid w:val="003002A0"/>
    <w:rsid w:val="003026FF"/>
    <w:rsid w:val="003171EF"/>
    <w:rsid w:val="00325DCB"/>
    <w:rsid w:val="00326FE9"/>
    <w:rsid w:val="0035404A"/>
    <w:rsid w:val="00354EA0"/>
    <w:rsid w:val="00365E72"/>
    <w:rsid w:val="00385C04"/>
    <w:rsid w:val="003C4E49"/>
    <w:rsid w:val="003D5E1C"/>
    <w:rsid w:val="003E7AEA"/>
    <w:rsid w:val="00412B21"/>
    <w:rsid w:val="004225E3"/>
    <w:rsid w:val="0042328B"/>
    <w:rsid w:val="00460B54"/>
    <w:rsid w:val="0046518D"/>
    <w:rsid w:val="004972E8"/>
    <w:rsid w:val="004C7B72"/>
    <w:rsid w:val="004D183C"/>
    <w:rsid w:val="004D375F"/>
    <w:rsid w:val="004E4B13"/>
    <w:rsid w:val="004F17FA"/>
    <w:rsid w:val="004F3601"/>
    <w:rsid w:val="004F6F8C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47E5A"/>
    <w:rsid w:val="009517E7"/>
    <w:rsid w:val="00960337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777AB"/>
    <w:rsid w:val="00B95F05"/>
    <w:rsid w:val="00BA7D51"/>
    <w:rsid w:val="00BB2122"/>
    <w:rsid w:val="00BC401E"/>
    <w:rsid w:val="00C03147"/>
    <w:rsid w:val="00C06D5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02885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11134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495645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7C180-1DC3-4643-9C8B-28F58407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2019-04-01T18:23:00Z</dcterms:created>
  <dcterms:modified xsi:type="dcterms:W3CDTF">2019-05-02T17:05:00Z</dcterms:modified>
</cp:coreProperties>
</file>