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6037CA">
        <w:rPr>
          <w:rFonts w:ascii="Arial" w:hAnsi="Arial" w:cs="Arial"/>
          <w:b/>
          <w:sz w:val="20"/>
          <w:szCs w:val="20"/>
        </w:rPr>
        <w:t>7</w:t>
      </w:r>
      <w:r w:rsidR="00E9695F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63A05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E0BCC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63A05" w:rsidP="00E9695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9695F">
        <w:rPr>
          <w:rFonts w:ascii="Arial" w:hAnsi="Arial" w:cs="Arial"/>
          <w:sz w:val="20"/>
          <w:szCs w:val="20"/>
        </w:rPr>
        <w:t>a instituição do regime de função gratificada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F00442">
        <w:rPr>
          <w:rFonts w:ascii="Arial" w:hAnsi="Arial" w:cs="Arial"/>
          <w:b/>
          <w:sz w:val="20"/>
          <w:szCs w:val="20"/>
        </w:rPr>
        <w:t>E SU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4F700E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63A05">
        <w:rPr>
          <w:rFonts w:ascii="Arial" w:hAnsi="Arial" w:cs="Arial"/>
          <w:sz w:val="20"/>
          <w:szCs w:val="20"/>
        </w:rPr>
        <w:t xml:space="preserve">Fica </w:t>
      </w:r>
      <w:r w:rsidR="00E9695F">
        <w:rPr>
          <w:rFonts w:ascii="Arial" w:hAnsi="Arial" w:cs="Arial"/>
          <w:sz w:val="20"/>
          <w:szCs w:val="20"/>
        </w:rPr>
        <w:t>instituído o regime de função gratificada para atender os encargos dos serviços relativos à função de Contador da Câmara Municipal de Ferraz de Vasconcelos.</w:t>
      </w:r>
    </w:p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DA" w:rsidRDefault="004F4EDA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695F">
        <w:rPr>
          <w:rFonts w:ascii="Arial" w:hAnsi="Arial" w:cs="Arial"/>
          <w:sz w:val="20"/>
          <w:szCs w:val="20"/>
        </w:rPr>
        <w:t>A designação para o exercício da função gratificada será feita por ato do Presidente da Câmara, desde que seja o funcionário habilitado.</w:t>
      </w: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95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gratificação será percebida cumulativamente como vencimento.</w:t>
      </w: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95F">
        <w:rPr>
          <w:rFonts w:ascii="Arial" w:hAnsi="Arial" w:cs="Arial"/>
          <w:b/>
          <w:bCs/>
          <w:sz w:val="20"/>
          <w:szCs w:val="20"/>
        </w:rPr>
        <w:t xml:space="preserve">Art. 4º </w:t>
      </w:r>
      <w:r>
        <w:rPr>
          <w:rFonts w:ascii="Arial" w:hAnsi="Arial" w:cs="Arial"/>
          <w:sz w:val="20"/>
          <w:szCs w:val="20"/>
        </w:rPr>
        <w:t>Fica estipulada em Cr$ 1.200,00 (hum mil e duzentos cruzeiros), a gratificação de que trata esta lei, reajustável na proporção dos aumentos de vencimentos que venham a ser concedidos.</w:t>
      </w: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95F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Não perderá a gratificação o funcionário que se ausentar em virtude de férias, casamento, licença para tratamento de saúde, serviços obrigatórios por lei ou atribuições regulares decorrentes de seu cargo ou função.</w:t>
      </w:r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695F" w:rsidRDefault="00E9695F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95F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As despesas dec</w:t>
      </w:r>
      <w:r w:rsidR="00C96455">
        <w:rPr>
          <w:rFonts w:ascii="Arial" w:hAnsi="Arial" w:cs="Arial"/>
          <w:sz w:val="20"/>
          <w:szCs w:val="20"/>
        </w:rPr>
        <w:t xml:space="preserve">orrentes da execução desta lei, </w:t>
      </w:r>
      <w:r>
        <w:rPr>
          <w:rFonts w:ascii="Arial" w:hAnsi="Arial" w:cs="Arial"/>
          <w:sz w:val="20"/>
          <w:szCs w:val="20"/>
        </w:rPr>
        <w:t>correrão por conta de verbas próprias consignadas no orçamento vigente.</w:t>
      </w:r>
    </w:p>
    <w:p w:rsidR="009E0BCC" w:rsidRDefault="009E0BCC" w:rsidP="009E0B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9E0BCC" w:rsidP="00E969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3EC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9695F">
        <w:rPr>
          <w:rFonts w:ascii="Arial" w:hAnsi="Arial" w:cs="Arial"/>
          <w:b/>
          <w:bCs/>
          <w:sz w:val="20"/>
          <w:szCs w:val="20"/>
        </w:rPr>
        <w:t>7</w:t>
      </w:r>
      <w:r w:rsidRPr="004D3EC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14602"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63A05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D3EC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2019-03-30T00:35:00Z</dcterms:created>
  <dcterms:modified xsi:type="dcterms:W3CDTF">2019-04-09T16:14:00Z</dcterms:modified>
</cp:coreProperties>
</file>