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28234E">
        <w:rPr>
          <w:rFonts w:ascii="Arial" w:hAnsi="Arial" w:cs="Arial"/>
          <w:b/>
          <w:sz w:val="20"/>
          <w:szCs w:val="20"/>
        </w:rPr>
        <w:t>8</w:t>
      </w:r>
      <w:r w:rsidR="007370D5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360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370D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entidade que específica.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370D5">
        <w:rPr>
          <w:rFonts w:ascii="Arial" w:hAnsi="Arial" w:cs="Arial"/>
          <w:sz w:val="20"/>
          <w:szCs w:val="20"/>
        </w:rPr>
        <w:t>Fica declara de utilidade pública a Agência de Publicidade “Paulicéia” de Ferraz de Vasconcelos, inscrição municipal n° 783/73 e CGC n° 44.335.206/001, com sede a Avenida XV de novembro n° 38, sala 3.</w:t>
      </w:r>
    </w:p>
    <w:p w:rsidR="009A0AE0" w:rsidRDefault="009A0AE0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0083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FB2BA6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8E" w:rsidRDefault="00693B8E" w:rsidP="009243B3">
      <w:pPr>
        <w:spacing w:after="0" w:line="240" w:lineRule="auto"/>
      </w:pPr>
      <w:r>
        <w:separator/>
      </w:r>
    </w:p>
  </w:endnote>
  <w:endnote w:type="continuationSeparator" w:id="0">
    <w:p w:rsidR="00693B8E" w:rsidRDefault="00693B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8E" w:rsidRDefault="00693B8E" w:rsidP="009243B3">
      <w:pPr>
        <w:spacing w:after="0" w:line="240" w:lineRule="auto"/>
      </w:pPr>
      <w:r>
        <w:separator/>
      </w:r>
    </w:p>
  </w:footnote>
  <w:footnote w:type="continuationSeparator" w:id="0">
    <w:p w:rsidR="00693B8E" w:rsidRDefault="00693B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17A3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3B8E"/>
    <w:rsid w:val="0069419E"/>
    <w:rsid w:val="00695428"/>
    <w:rsid w:val="006C43A0"/>
    <w:rsid w:val="006D7A38"/>
    <w:rsid w:val="006F4880"/>
    <w:rsid w:val="006F4EB1"/>
    <w:rsid w:val="00702203"/>
    <w:rsid w:val="00714F00"/>
    <w:rsid w:val="00717543"/>
    <w:rsid w:val="007350D7"/>
    <w:rsid w:val="007370D5"/>
    <w:rsid w:val="007672B4"/>
    <w:rsid w:val="007746D5"/>
    <w:rsid w:val="007816D6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2BA6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F2EC0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2019-04-04T14:08:00Z</dcterms:created>
  <dcterms:modified xsi:type="dcterms:W3CDTF">2019-04-15T18:31:00Z</dcterms:modified>
</cp:coreProperties>
</file>