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245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E2453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3022">
        <w:rPr>
          <w:rFonts w:ascii="Arial" w:hAnsi="Arial" w:cs="Arial"/>
          <w:b/>
          <w:sz w:val="20"/>
          <w:szCs w:val="20"/>
        </w:rPr>
        <w:t>2</w:t>
      </w:r>
      <w:r w:rsidR="00E2453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4536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de critérios para declarar de utilidade pública entidades, fundações e sociedades civis, com fins assistenciais e culturais.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3022" w:rsidRDefault="009243B3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24536">
        <w:rPr>
          <w:rFonts w:ascii="Arial" w:hAnsi="Arial" w:cs="Arial"/>
          <w:sz w:val="20"/>
          <w:szCs w:val="20"/>
        </w:rPr>
        <w:t>As entidades, fundações e sociedades civis constituídas no Município, com fins exclusivos de servirem desinteressadamente a coletividade, poderão ser declaradas de utilidade pública, provados os seguintes requisitos: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que possue personalidade jurídica;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que estão em efetivo funcionamento e servem desinteressadamente a coletividade;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que os cargos de suas Diretorias não são remunerados.</w:t>
      </w:r>
    </w:p>
    <w:p w:rsidR="00BD0020" w:rsidRDefault="00BD0020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020" w:rsidRDefault="00BD0020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0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4536">
        <w:rPr>
          <w:rFonts w:ascii="Arial" w:hAnsi="Arial" w:cs="Arial"/>
          <w:sz w:val="20"/>
          <w:szCs w:val="20"/>
        </w:rPr>
        <w:t>A juízo da Administração Municipal, as entidades acima referidas, poderão gozar de total isenção fiscal, para que, deverão dirigir requerimento a Municipalidade, apresentando os seguintes documentos;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os estatutos sociais;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ata da última reunião da Diretoria;</w:t>
      </w:r>
    </w:p>
    <w:p w:rsidR="00E24536" w:rsidRDefault="00E24536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4536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prova de que se encontra em plena atividade e cumprindo suas finalidades.</w:t>
      </w:r>
    </w:p>
    <w:p w:rsidR="00373022" w:rsidRDefault="00373022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022" w:rsidRDefault="00373022" w:rsidP="00E24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02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24536">
        <w:rPr>
          <w:rFonts w:ascii="Arial" w:hAnsi="Arial" w:cs="Arial"/>
          <w:sz w:val="20"/>
          <w:szCs w:val="20"/>
        </w:rPr>
        <w:t>A declaração de utilidade pública pelo Município, poderá ser feita por decreto do Executivo, ou através de lei, uma vez preenchidos os requisitos exigidos por esta Lei.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A4510" w:rsidP="00373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</w:t>
      </w:r>
      <w:r w:rsidR="00BD0020">
        <w:rPr>
          <w:rFonts w:ascii="Arial" w:hAnsi="Arial" w:cs="Arial"/>
          <w:b/>
          <w:bCs/>
          <w:sz w:val="20"/>
          <w:szCs w:val="20"/>
        </w:rPr>
        <w:t xml:space="preserve"> </w:t>
      </w:r>
      <w:r w:rsidR="00373022">
        <w:rPr>
          <w:rFonts w:ascii="Arial" w:hAnsi="Arial" w:cs="Arial"/>
          <w:b/>
          <w:bCs/>
          <w:sz w:val="20"/>
          <w:szCs w:val="20"/>
        </w:rPr>
        <w:t>4</w:t>
      </w:r>
      <w:r w:rsidRPr="00B9477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B65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73022">
        <w:rPr>
          <w:rFonts w:ascii="Arial" w:hAnsi="Arial" w:cs="Arial"/>
          <w:sz w:val="20"/>
          <w:szCs w:val="20"/>
        </w:rPr>
        <w:t>2</w:t>
      </w:r>
      <w:r w:rsidR="001B659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9BA" w:rsidRDefault="004119BA" w:rsidP="009243B3">
      <w:pPr>
        <w:spacing w:after="0" w:line="240" w:lineRule="auto"/>
      </w:pPr>
      <w:r>
        <w:separator/>
      </w:r>
    </w:p>
  </w:endnote>
  <w:endnote w:type="continuationSeparator" w:id="1">
    <w:p w:rsidR="004119BA" w:rsidRDefault="004119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9BA" w:rsidRDefault="004119BA" w:rsidP="009243B3">
      <w:pPr>
        <w:spacing w:after="0" w:line="240" w:lineRule="auto"/>
      </w:pPr>
      <w:r>
        <w:separator/>
      </w:r>
    </w:p>
  </w:footnote>
  <w:footnote w:type="continuationSeparator" w:id="1">
    <w:p w:rsidR="004119BA" w:rsidRDefault="004119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19BA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2019-04-03T23:45:00Z</dcterms:created>
  <dcterms:modified xsi:type="dcterms:W3CDTF">2019-04-03T23:51:00Z</dcterms:modified>
</cp:coreProperties>
</file>