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D32EE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1.131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04 DE JANEIRO DE </w:t>
      </w:r>
      <w:r w:rsidR="000752EF">
        <w:rPr>
          <w:rFonts w:ascii="Arial" w:hAnsi="Arial" w:cs="Arial"/>
          <w:b/>
          <w:sz w:val="20"/>
          <w:szCs w:val="20"/>
        </w:rPr>
        <w:t>1980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32EE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§</w:t>
      </w:r>
      <w:r w:rsidR="000752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2º, do artigo 1º, da Lei</w:t>
      </w:r>
      <w:r w:rsidR="000752EF">
        <w:rPr>
          <w:rFonts w:ascii="Arial" w:hAnsi="Arial" w:cs="Arial"/>
          <w:sz w:val="20"/>
          <w:szCs w:val="20"/>
        </w:rPr>
        <w:t xml:space="preserve"> nº 665, de 27 de dezembro de 1</w:t>
      </w:r>
      <w:r>
        <w:rPr>
          <w:rFonts w:ascii="Arial" w:hAnsi="Arial" w:cs="Arial"/>
          <w:sz w:val="20"/>
          <w:szCs w:val="20"/>
        </w:rPr>
        <w:t>967.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A68">
        <w:rPr>
          <w:rFonts w:ascii="Arial" w:hAnsi="Arial" w:cs="Arial"/>
          <w:sz w:val="20"/>
          <w:szCs w:val="20"/>
        </w:rPr>
        <w:t>FAZ SABER QUE A CÂMARA MUNICIPAL APROVOU E ELE SAN</w:t>
      </w:r>
      <w:r>
        <w:rPr>
          <w:rFonts w:ascii="Arial" w:hAnsi="Arial" w:cs="Arial"/>
          <w:sz w:val="20"/>
          <w:szCs w:val="20"/>
        </w:rPr>
        <w:t>CIONA E PROMULGA A SEGUINTE LEI</w:t>
      </w:r>
      <w:r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Passa a ter a seguinte redação o §</w:t>
      </w:r>
      <w:r w:rsidR="000752EF">
        <w:rPr>
          <w:rFonts w:ascii="Arial" w:hAnsi="Arial" w:cs="Arial"/>
          <w:sz w:val="20"/>
          <w:szCs w:val="20"/>
        </w:rPr>
        <w:t xml:space="preserve"> </w:t>
      </w:r>
      <w:r w:rsidR="00D32EE6">
        <w:rPr>
          <w:rFonts w:ascii="Arial" w:hAnsi="Arial" w:cs="Arial"/>
          <w:sz w:val="20"/>
          <w:szCs w:val="20"/>
        </w:rPr>
        <w:t>2</w:t>
      </w:r>
      <w:r w:rsidR="000752EF">
        <w:rPr>
          <w:rFonts w:ascii="Arial" w:hAnsi="Arial" w:cs="Arial"/>
          <w:sz w:val="20"/>
          <w:szCs w:val="20"/>
        </w:rPr>
        <w:t>º</w:t>
      </w:r>
      <w:r w:rsidR="00D32EE6">
        <w:rPr>
          <w:rFonts w:ascii="Arial" w:hAnsi="Arial" w:cs="Arial"/>
          <w:sz w:val="20"/>
          <w:szCs w:val="20"/>
        </w:rPr>
        <w:t xml:space="preserve">, do artigo 1º, da Lei nº 665, de 27 de dezembro de </w:t>
      </w:r>
      <w:r w:rsidR="000752EF">
        <w:rPr>
          <w:rFonts w:ascii="Arial" w:hAnsi="Arial" w:cs="Arial"/>
          <w:sz w:val="20"/>
          <w:szCs w:val="20"/>
        </w:rPr>
        <w:t>1</w:t>
      </w:r>
      <w:r w:rsidR="00FA3D5B">
        <w:rPr>
          <w:rFonts w:ascii="Arial" w:hAnsi="Arial" w:cs="Arial"/>
          <w:sz w:val="20"/>
          <w:szCs w:val="20"/>
        </w:rPr>
        <w:t xml:space="preserve">967, que dispõe sobre a concessão de “nicho e de sepultura perpétua” no cemitério municipal e dá outras providências: </w:t>
      </w:r>
    </w:p>
    <w:p w:rsidR="00FA3D5B" w:rsidRDefault="00FA3D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D5B" w:rsidRDefault="00FA3D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 2º O preço para concessão de cada sepultura perpétua no cemitério municipal, será fixado por decreto do Executivo, cujo valor estabelecer-se-á conforme sua localização, e pagamento poderá ser efetuado em até seis (6) prestações mensais iguais”.</w:t>
      </w:r>
    </w:p>
    <w:p w:rsidR="009243B3" w:rsidRDefault="00FA3D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117A0" w:rsidRDefault="00127A68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FA3D5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A117A0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04 de janeiro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0752EF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2EF"/>
    <w:rsid w:val="00127A68"/>
    <w:rsid w:val="001D7561"/>
    <w:rsid w:val="00285F07"/>
    <w:rsid w:val="0035404A"/>
    <w:rsid w:val="009243B3"/>
    <w:rsid w:val="00A117A0"/>
    <w:rsid w:val="00D155C8"/>
    <w:rsid w:val="00D32EE6"/>
    <w:rsid w:val="00D7651E"/>
    <w:rsid w:val="00F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D19898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2019-02-13T18:59:00Z</dcterms:created>
  <dcterms:modified xsi:type="dcterms:W3CDTF">2019-02-18T13:00:00Z</dcterms:modified>
</cp:coreProperties>
</file>