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D442AB">
        <w:rPr>
          <w:rFonts w:ascii="Arial" w:hAnsi="Arial" w:cs="Arial"/>
          <w:b/>
          <w:sz w:val="20"/>
          <w:szCs w:val="20"/>
        </w:rPr>
        <w:t>4</w:t>
      </w:r>
      <w:r w:rsidR="005E2A3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2A39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E2A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442F45" w:rsidRDefault="00442F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2A39">
        <w:rPr>
          <w:rFonts w:ascii="Arial" w:hAnsi="Arial" w:cs="Arial"/>
          <w:sz w:val="20"/>
          <w:szCs w:val="20"/>
        </w:rPr>
        <w:t>Fica o Executivo autorizado a abrir um crédito adicional até a importância de Cr$ 2.049.278,50 (dois milhões, quarenta e nove mil, duzentos e setenta e oito cruzeiros e cinquenta centavos), para suplementar as seguintes dotações do Orçamento vigente:</w:t>
      </w: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43"/>
        <w:gridCol w:w="1474"/>
      </w:tblGrid>
      <w:tr w:rsidR="005E2A39" w:rsidTr="005E2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E2A39" w:rsidRPr="005E2A39" w:rsidRDefault="005E2A39" w:rsidP="005E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2A39" w:rsidRPr="005E2A39" w:rsidRDefault="005E2A39" w:rsidP="005E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2A39" w:rsidRPr="005E2A39" w:rsidRDefault="005E2A39" w:rsidP="005E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1.573.541,20</w:t>
            </w: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03.07.020.2.021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Subsídios do Vice-Prefeito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475.737,30</w:t>
            </w:r>
          </w:p>
        </w:tc>
      </w:tr>
      <w:tr w:rsidR="005E2A39" w:rsidTr="005E2A39">
        <w:trPr>
          <w:jc w:val="center"/>
        </w:trPr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2A39" w:rsidRDefault="005E2A39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E2A39" w:rsidRDefault="005E2A39" w:rsidP="005E2A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2.049.278,50</w:t>
            </w:r>
          </w:p>
        </w:tc>
      </w:tr>
    </w:tbl>
    <w:p w:rsidR="00D442AB" w:rsidRDefault="00D442A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C23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2A39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975B8A">
        <w:rPr>
          <w:rFonts w:ascii="Arial" w:hAnsi="Arial" w:cs="Arial"/>
          <w:sz w:val="20"/>
          <w:szCs w:val="20"/>
        </w:rPr>
        <w:t>.</w:t>
      </w:r>
    </w:p>
    <w:p w:rsidR="005E2A39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20AE6"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C23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42F45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C81B4C9-72B3-4030-9D79-37106326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2019-04-08T19:07:00Z</dcterms:created>
  <dcterms:modified xsi:type="dcterms:W3CDTF">2019-04-12T18:04:00Z</dcterms:modified>
</cp:coreProperties>
</file>