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9516EB">
        <w:rPr>
          <w:rFonts w:ascii="Arial" w:hAnsi="Arial" w:cs="Arial"/>
          <w:b/>
          <w:sz w:val="20"/>
          <w:szCs w:val="20"/>
        </w:rPr>
        <w:t>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16EB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>
        <w:rPr>
          <w:rFonts w:ascii="Arial" w:hAnsi="Arial" w:cs="Arial"/>
          <w:sz w:val="20"/>
          <w:szCs w:val="20"/>
        </w:rPr>
        <w:t xml:space="preserve">Thereza Del </w:t>
      </w:r>
      <w:proofErr w:type="spellStart"/>
      <w:r>
        <w:rPr>
          <w:rFonts w:ascii="Arial" w:hAnsi="Arial" w:cs="Arial"/>
          <w:sz w:val="20"/>
          <w:szCs w:val="20"/>
        </w:rPr>
        <w:t>Ciampo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Bassan</w:t>
      </w:r>
      <w:proofErr w:type="spellEnd"/>
      <w:r>
        <w:rPr>
          <w:rFonts w:ascii="Arial" w:hAnsi="Arial" w:cs="Arial"/>
          <w:sz w:val="20"/>
          <w:szCs w:val="20"/>
        </w:rPr>
        <w:t xml:space="preserve">, a atual rua </w:t>
      </w:r>
      <w:r>
        <w:rPr>
          <w:rFonts w:ascii="Arial" w:hAnsi="Arial" w:cs="Arial"/>
          <w:sz w:val="20"/>
          <w:szCs w:val="20"/>
        </w:rPr>
        <w:t>Viela Particular</w:t>
      </w:r>
      <w:r>
        <w:rPr>
          <w:rFonts w:ascii="Arial" w:hAnsi="Arial" w:cs="Arial"/>
          <w:sz w:val="20"/>
          <w:szCs w:val="20"/>
        </w:rPr>
        <w:t xml:space="preserve">, que </w:t>
      </w:r>
      <w:proofErr w:type="gramStart"/>
      <w:r>
        <w:rPr>
          <w:rFonts w:ascii="Arial" w:hAnsi="Arial" w:cs="Arial"/>
          <w:sz w:val="20"/>
          <w:szCs w:val="20"/>
        </w:rPr>
        <w:t>inicia</w:t>
      </w:r>
      <w:r>
        <w:rPr>
          <w:rFonts w:ascii="Arial" w:hAnsi="Arial" w:cs="Arial"/>
          <w:sz w:val="20"/>
          <w:szCs w:val="20"/>
        </w:rPr>
        <w:t>-se</w:t>
      </w:r>
      <w:proofErr w:type="gramEnd"/>
      <w:r>
        <w:rPr>
          <w:rFonts w:ascii="Arial" w:hAnsi="Arial" w:cs="Arial"/>
          <w:sz w:val="20"/>
          <w:szCs w:val="20"/>
        </w:rPr>
        <w:t xml:space="preserve"> na rua </w:t>
      </w:r>
      <w:r>
        <w:rPr>
          <w:rFonts w:ascii="Arial" w:hAnsi="Arial" w:cs="Arial"/>
          <w:sz w:val="20"/>
          <w:szCs w:val="20"/>
        </w:rPr>
        <w:t>das Américas</w:t>
      </w:r>
      <w:r>
        <w:rPr>
          <w:rFonts w:ascii="Arial" w:hAnsi="Arial" w:cs="Arial"/>
          <w:sz w:val="20"/>
          <w:szCs w:val="20"/>
        </w:rPr>
        <w:t xml:space="preserve"> e termina nos limites do loteamento, localizada no </w:t>
      </w:r>
      <w:r>
        <w:rPr>
          <w:rFonts w:ascii="Arial" w:hAnsi="Arial" w:cs="Arial"/>
          <w:sz w:val="20"/>
          <w:szCs w:val="20"/>
        </w:rPr>
        <w:t>retalhamento de propriedade do senhor Antônio Borges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9516EB">
        <w:rPr>
          <w:rFonts w:ascii="Arial" w:hAnsi="Arial" w:cs="Arial"/>
          <w:sz w:val="20"/>
          <w:szCs w:val="20"/>
        </w:rPr>
        <w:t>11</w:t>
      </w:r>
      <w:r w:rsidRPr="00FE3A90">
        <w:rPr>
          <w:rFonts w:ascii="Arial" w:hAnsi="Arial" w:cs="Arial"/>
          <w:sz w:val="20"/>
          <w:szCs w:val="20"/>
        </w:rPr>
        <w:t xml:space="preserve"> de março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2019-04-12T14:29:00Z</dcterms:created>
  <dcterms:modified xsi:type="dcterms:W3CDTF">2019-04-12T14:32:00Z</dcterms:modified>
</cp:coreProperties>
</file>