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48B1">
        <w:rPr>
          <w:rFonts w:ascii="Arial" w:hAnsi="Arial" w:cs="Arial"/>
          <w:b/>
          <w:sz w:val="20"/>
          <w:szCs w:val="20"/>
        </w:rPr>
        <w:t>1.406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548B1">
        <w:rPr>
          <w:rFonts w:ascii="Arial" w:hAnsi="Arial" w:cs="Arial"/>
          <w:b/>
          <w:sz w:val="20"/>
          <w:szCs w:val="20"/>
        </w:rPr>
        <w:t>22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8B1">
        <w:rPr>
          <w:rFonts w:ascii="Arial" w:hAnsi="Arial" w:cs="Arial"/>
          <w:sz w:val="20"/>
          <w:szCs w:val="20"/>
        </w:rPr>
        <w:t>a criação de cargos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48B1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>Fica</w:t>
      </w:r>
      <w:r w:rsidR="001548B1">
        <w:rPr>
          <w:rFonts w:ascii="Arial" w:hAnsi="Arial" w:cs="Arial"/>
          <w:sz w:val="20"/>
          <w:szCs w:val="20"/>
        </w:rPr>
        <w:t>m criados na Tabela “A”, anexa a Lei nº 907/75, três (3) cargos de Assessor, Padrão “R”, de provimento em comissão.</w:t>
      </w:r>
    </w:p>
    <w:p w:rsidR="001548B1" w:rsidRDefault="001548B1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48B1" w:rsidRDefault="001548B1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48B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desta Lei, correrão à conta das dotações orçamentárias próprias, suplementadas se necessário.</w:t>
      </w:r>
    </w:p>
    <w:p w:rsidR="001548B1" w:rsidRDefault="001548B1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548B1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1548B1">
        <w:rPr>
          <w:rFonts w:ascii="Arial" w:hAnsi="Arial" w:cs="Arial"/>
          <w:sz w:val="20"/>
          <w:szCs w:val="20"/>
        </w:rPr>
        <w:t>22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548B1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71055A"/>
    <w:rsid w:val="00747F63"/>
    <w:rsid w:val="0077607E"/>
    <w:rsid w:val="008021CE"/>
    <w:rsid w:val="008F5549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12AE-D7AE-46DB-9598-AC0AAA5A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27</cp:revision>
  <dcterms:created xsi:type="dcterms:W3CDTF">2019-04-05T16:42:00Z</dcterms:created>
  <dcterms:modified xsi:type="dcterms:W3CDTF">2019-04-11T12:35:00Z</dcterms:modified>
</cp:coreProperties>
</file>